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sz w:val="32"/>
          <w:szCs w:val="32"/>
        </w:rPr>
      </w:pPr>
      <w:r>
        <w:rPr>
          <w:rFonts w:hint="eastAsia"/>
          <w:sz w:val="32"/>
          <w:szCs w:val="32"/>
          <w:lang w:val="en-US" w:eastAsia="zh-CN"/>
        </w:rPr>
        <w:t>《电子钢琴》</w:t>
      </w:r>
      <w:r>
        <w:rPr>
          <w:rFonts w:hint="eastAsia" w:ascii="宋体" w:hAnsi="宋体"/>
          <w:sz w:val="32"/>
          <w:szCs w:val="32"/>
        </w:rPr>
        <w:t>“浙江制造”标准编制说明</w:t>
      </w:r>
    </w:p>
    <w:p>
      <w:pPr>
        <w:pStyle w:val="8"/>
        <w:jc w:val="left"/>
        <w:rPr>
          <w:rFonts w:hint="eastAsia" w:ascii="宋体" w:hAnsi="宋体" w:eastAsia="宋体"/>
          <w:b/>
          <w:sz w:val="24"/>
          <w:szCs w:val="24"/>
          <w:lang w:val="en-US" w:eastAsia="zh-CN"/>
        </w:rPr>
      </w:pPr>
      <w:r>
        <w:rPr>
          <w:rFonts w:hint="eastAsia" w:ascii="宋体" w:hAnsi="宋体" w:eastAsia="宋体"/>
          <w:b/>
          <w:sz w:val="24"/>
          <w:szCs w:val="24"/>
          <w:lang w:val="en-US" w:eastAsia="zh-CN"/>
        </w:rPr>
        <w:t>1 项目背景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标准制定背景简介：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电子钢琴(Electric piano)，是一种电声乐器。它是二十世纪六七十年代兴起，八十年代至九十年代早期流行的一种用于在某些场合代替钢琴的乐器。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子钢琴市场规模随着下游行业需求规模不断扩大而增加，2013-2018年中国电子钢琴行业市场规模增长率在10%-16%之间，2016年中国电子钢琴行业市场规模8.56亿元，2018年中国电子钢琴行业市场规模10.55亿元，同比增长10.59%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据不完全统计，2020年中国电子钢琴行业工业总产值高达47.8亿元，市场规模约为68.6亿元，较2019年63.6亿元相比，增长7.86%，行业总资产达110.5亿元，预计未来也将保持持续高速增长，未来的电钢琴将会更加电子化、智能化，能满足初学者的需求，行业前景良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当前，国外缺乏对电子钢琴的标准，但是有系列的对电子钢琴的产品质量认证要求。由于我国的标准要求低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现有标准</w:t>
      </w:r>
      <w:r>
        <w:rPr>
          <w:rFonts w:hint="eastAsia" w:ascii="宋体" w:hAnsi="宋体" w:eastAsia="宋体" w:cs="宋体"/>
          <w:sz w:val="24"/>
          <w:szCs w:val="24"/>
        </w:rPr>
        <w:t>在有关复音数要求上比如今主流复音数要求低了一倍，缺少释放感等关键技术指标，音准等数据明显低于如今市场需求，参考标准普遍年代早，因此，存在与国际上先进电子钢琴制造技术水平脱节的问题。综合上述，对</w:t>
      </w:r>
      <w:r>
        <w:rPr>
          <w:rFonts w:hint="eastAsia" w:ascii="宋体" w:hAnsi="宋体" w:eastAsia="宋体" w:cs="宋体"/>
          <w:sz w:val="24"/>
          <w:szCs w:val="24"/>
          <w:lang w:val="en-US" w:eastAsia="zh-CN"/>
        </w:rPr>
        <w:t>电子钢琴</w:t>
      </w:r>
      <w:r>
        <w:rPr>
          <w:rFonts w:hint="eastAsia" w:ascii="宋体" w:hAnsi="宋体" w:eastAsia="宋体" w:cs="宋体"/>
          <w:sz w:val="24"/>
          <w:szCs w:val="24"/>
        </w:rPr>
        <w:t>的浙江制造标准主要参照QB/T 1477</w:t>
      </w:r>
      <w:r>
        <w:rPr>
          <w:rFonts w:hint="eastAsia" w:ascii="宋体" w:hAnsi="宋体" w:eastAsia="宋体" w:cs="宋体"/>
          <w:sz w:val="24"/>
          <w:szCs w:val="24"/>
          <w:lang w:eastAsia="zh-CN"/>
        </w:rPr>
        <w:t>—</w:t>
      </w:r>
      <w:r>
        <w:rPr>
          <w:rFonts w:hint="eastAsia" w:ascii="宋体" w:hAnsi="宋体" w:eastAsia="宋体" w:cs="宋体"/>
          <w:sz w:val="24"/>
          <w:szCs w:val="24"/>
        </w:rPr>
        <w:t>2012《电子钢琴》</w:t>
      </w:r>
      <w:r>
        <w:rPr>
          <w:rFonts w:hint="eastAsia" w:ascii="宋体" w:hAnsi="宋体" w:eastAsia="宋体" w:cs="宋体"/>
          <w:sz w:val="24"/>
          <w:szCs w:val="24"/>
          <w:lang w:eastAsia="zh-CN"/>
        </w:rPr>
        <w:t>、</w:t>
      </w:r>
      <w:r>
        <w:rPr>
          <w:rFonts w:hint="eastAsia" w:ascii="宋体" w:hAnsi="宋体" w:eastAsia="宋体" w:cs="宋体"/>
          <w:sz w:val="24"/>
          <w:szCs w:val="24"/>
        </w:rPr>
        <w:t>GB/T 12105</w:t>
      </w:r>
      <w:r>
        <w:rPr>
          <w:rFonts w:hint="eastAsia" w:ascii="宋体" w:hAnsi="宋体" w:eastAsia="宋体" w:cs="宋体"/>
          <w:sz w:val="24"/>
          <w:szCs w:val="24"/>
          <w:lang w:val="en-US" w:eastAsia="zh-CN"/>
        </w:rPr>
        <w:t>—</w:t>
      </w:r>
      <w:r>
        <w:rPr>
          <w:rFonts w:hint="eastAsia" w:ascii="宋体" w:hAnsi="宋体" w:eastAsia="宋体" w:cs="宋体"/>
          <w:sz w:val="24"/>
          <w:szCs w:val="24"/>
        </w:rPr>
        <w:t>2017《电子琴通用技术条件》</w:t>
      </w:r>
      <w:r>
        <w:rPr>
          <w:rFonts w:hint="eastAsia" w:ascii="宋体" w:hAnsi="宋体" w:eastAsia="宋体" w:cs="宋体"/>
          <w:sz w:val="24"/>
          <w:szCs w:val="24"/>
          <w:lang w:val="en-US" w:eastAsia="zh-CN"/>
        </w:rPr>
        <w:t>的</w:t>
      </w:r>
      <w:r>
        <w:rPr>
          <w:rFonts w:hint="eastAsia" w:ascii="宋体" w:hAnsi="宋体" w:eastAsia="宋体" w:cs="宋体"/>
          <w:sz w:val="24"/>
          <w:szCs w:val="24"/>
        </w:rPr>
        <w:t>要求，综合考虑应用领域</w:t>
      </w:r>
      <w:r>
        <w:rPr>
          <w:rFonts w:hint="eastAsia" w:ascii="宋体" w:hAnsi="宋体" w:eastAsia="宋体" w:cs="宋体"/>
          <w:sz w:val="24"/>
          <w:szCs w:val="24"/>
          <w:lang w:eastAsia="zh-CN"/>
        </w:rPr>
        <w:t>、</w:t>
      </w:r>
      <w:r>
        <w:rPr>
          <w:rFonts w:hint="eastAsia" w:ascii="宋体" w:hAnsi="宋体" w:eastAsia="宋体" w:cs="宋体"/>
          <w:sz w:val="24"/>
          <w:szCs w:val="24"/>
        </w:rPr>
        <w:t>国际方法等，进行综合比对和制定</w:t>
      </w:r>
      <w:r>
        <w:rPr>
          <w:rFonts w:hint="eastAsia" w:ascii="宋体" w:hAnsi="宋体" w:eastAsia="宋体" w:cs="宋体"/>
          <w:sz w:val="24"/>
          <w:szCs w:val="24"/>
          <w:lang w:eastAsia="zh-CN"/>
        </w:rPr>
        <w:t>。</w:t>
      </w:r>
    </w:p>
    <w:p>
      <w:pPr>
        <w:spacing w:line="360" w:lineRule="auto"/>
        <w:ind w:firstLine="435"/>
        <w:rPr>
          <w:rFonts w:hint="eastAsia" w:ascii="宋体" w:hAnsi="宋体"/>
          <w:sz w:val="24"/>
        </w:rPr>
      </w:pPr>
      <w:r>
        <w:rPr>
          <w:rFonts w:hint="eastAsia" w:ascii="宋体" w:hAnsi="宋体"/>
          <w:sz w:val="24"/>
        </w:rPr>
        <w:t>标准主要起草单位简介：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6"/>
        </w:rPr>
      </w:pPr>
      <w:r>
        <w:rPr>
          <w:rFonts w:hint="eastAsia" w:ascii="宋体" w:hAnsi="宋体" w:eastAsia="宋体" w:cs="宋体"/>
          <w:sz w:val="24"/>
          <w:szCs w:val="36"/>
        </w:rPr>
        <w:t>杭州爱尔科乐器有限公司的前身是诞生于2004年的杭州爱尔科电子有限公司，从2017年5月起，与得理集团强强联合，得到了得理集团强大的技术与管理方面的支持。</w:t>
      </w:r>
      <w:r>
        <w:rPr>
          <w:rFonts w:hint="eastAsia" w:ascii="宋体" w:hAnsi="宋体" w:eastAsia="宋体" w:cs="宋体"/>
          <w:sz w:val="24"/>
          <w:szCs w:val="36"/>
          <w:lang w:val="en-US" w:eastAsia="zh-CN"/>
        </w:rPr>
        <w:t>公司</w:t>
      </w:r>
      <w:r>
        <w:rPr>
          <w:rFonts w:hint="eastAsia" w:ascii="宋体" w:hAnsi="宋体" w:eastAsia="宋体" w:cs="宋体"/>
          <w:sz w:val="24"/>
          <w:szCs w:val="36"/>
        </w:rPr>
        <w:t>具备从模具、注塑、喷漆、丝印、木工、PCBA组装、产品总装、检测等齐全的自配套生产体系</w:t>
      </w:r>
      <w:r>
        <w:rPr>
          <w:rFonts w:hint="eastAsia" w:ascii="宋体" w:hAnsi="宋体" w:eastAsia="宋体" w:cs="宋体"/>
          <w:sz w:val="24"/>
          <w:szCs w:val="36"/>
          <w:lang w:eastAsia="zh-CN"/>
        </w:rPr>
        <w:t>。</w:t>
      </w:r>
      <w:r>
        <w:rPr>
          <w:rFonts w:hint="eastAsia" w:ascii="宋体" w:hAnsi="宋体" w:eastAsia="宋体" w:cs="宋体"/>
          <w:sz w:val="24"/>
          <w:szCs w:val="36"/>
        </w:rPr>
        <w:t>公司秉承质量是企业生命之理念，以顾客导向为企业经营准则，持续不断地开展精益生产活动，力争成为业界最具品质、成本双竞争力的电鸣乐器品牌。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36"/>
          <w:lang w:val="en-US" w:eastAsia="zh-CN"/>
        </w:rPr>
        <w:t>公司自成立以来，与</w:t>
      </w:r>
      <w:r>
        <w:rPr>
          <w:rFonts w:hint="eastAsia" w:ascii="宋体" w:hAnsi="宋体" w:eastAsia="宋体" w:cs="宋体"/>
          <w:sz w:val="24"/>
          <w:szCs w:val="36"/>
        </w:rPr>
        <w:t>北京理工大学开展产学研合作</w:t>
      </w:r>
      <w:r>
        <w:rPr>
          <w:rFonts w:hint="eastAsia" w:ascii="宋体" w:hAnsi="宋体" w:eastAsia="宋体" w:cs="宋体"/>
          <w:sz w:val="24"/>
          <w:szCs w:val="36"/>
          <w:lang w:eastAsia="zh-CN"/>
        </w:rPr>
        <w:t>，</w:t>
      </w:r>
      <w:r>
        <w:rPr>
          <w:rFonts w:hint="eastAsia" w:ascii="宋体" w:hAnsi="宋体" w:eastAsia="宋体" w:cs="宋体"/>
          <w:sz w:val="24"/>
          <w:szCs w:val="36"/>
        </w:rPr>
        <w:t>始终坚持走自主研发的发</w:t>
      </w:r>
      <w:r>
        <w:rPr>
          <w:rFonts w:hint="eastAsia" w:ascii="宋体" w:hAnsi="宋体" w:eastAsia="宋体" w:cs="Times New Roman"/>
          <w:sz w:val="24"/>
        </w:rPr>
        <w:t>展道路，充分掌握了</w:t>
      </w:r>
      <w:r>
        <w:rPr>
          <w:rFonts w:hint="eastAsia" w:ascii="宋体" w:hAnsi="宋体" w:eastAsia="宋体" w:cs="Times New Roman"/>
          <w:sz w:val="24"/>
          <w:lang w:val="en-US" w:eastAsia="zh-CN"/>
        </w:rPr>
        <w:t>电子钢琴</w:t>
      </w:r>
      <w:r>
        <w:rPr>
          <w:rFonts w:hint="eastAsia" w:ascii="宋体" w:hAnsi="宋体" w:eastAsia="宋体" w:cs="Times New Roman"/>
          <w:sz w:val="24"/>
        </w:rPr>
        <w:t>领域的核心技术优势，</w:t>
      </w:r>
      <w:r>
        <w:rPr>
          <w:rFonts w:hint="eastAsia" w:ascii="宋体" w:hAnsi="宋体" w:eastAsia="宋体" w:cs="Times New Roman"/>
          <w:sz w:val="24"/>
          <w:lang w:val="en-US" w:eastAsia="zh-CN"/>
        </w:rPr>
        <w:t>获授权有效专利10项，其</w:t>
      </w:r>
      <w:r>
        <w:rPr>
          <w:rFonts w:hint="eastAsia" w:ascii="宋体" w:hAnsi="宋体" w:eastAsia="宋体" w:cs="宋体"/>
          <w:sz w:val="24"/>
          <w:szCs w:val="24"/>
          <w:lang w:val="en-US" w:eastAsia="zh-CN"/>
        </w:rPr>
        <w:t>中实用新型发明10项，并先后通过了ISO 9001质量管理体系认证、ISO 14001:2004环境管理体系认证和OHSAS18001职业健康安全管理体系，荣获浙江省高新技术企业、杭州市重点骨干企业等荣誉。</w:t>
      </w:r>
    </w:p>
    <w:p>
      <w:pPr>
        <w:pStyle w:val="8"/>
        <w:jc w:val="left"/>
        <w:rPr>
          <w:rFonts w:hint="eastAsia" w:ascii="宋体" w:hAnsi="宋体" w:eastAsia="宋体"/>
          <w:b/>
          <w:sz w:val="24"/>
          <w:szCs w:val="24"/>
          <w:lang w:val="en-US" w:eastAsia="zh-CN"/>
        </w:rPr>
      </w:pPr>
      <w:r>
        <w:rPr>
          <w:rFonts w:hint="eastAsia" w:ascii="宋体" w:hAnsi="宋体" w:eastAsia="宋体"/>
          <w:b/>
          <w:sz w:val="24"/>
          <w:szCs w:val="24"/>
          <w:lang w:val="en-US" w:eastAsia="zh-CN"/>
        </w:rPr>
        <w:t>2 项目来源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由</w:t>
      </w:r>
      <w:r>
        <w:rPr>
          <w:rFonts w:hint="eastAsia" w:ascii="宋体" w:hAnsi="宋体" w:eastAsia="宋体" w:cs="宋体"/>
          <w:sz w:val="24"/>
          <w:szCs w:val="36"/>
        </w:rPr>
        <w:t>杭州爱尔科乐器有限公司</w:t>
      </w:r>
      <w:r>
        <w:rPr>
          <w:rFonts w:hint="eastAsia" w:ascii="宋体" w:hAnsi="宋体"/>
          <w:sz w:val="24"/>
        </w:rPr>
        <w:t>向浙江省品牌建设联合会提出申请，经立项论证通过，并印发了</w:t>
      </w:r>
      <w:r>
        <w:rPr>
          <w:rFonts w:hint="eastAsia" w:ascii="宋体" w:hAnsi="宋体" w:eastAsia="宋体" w:cs="Times New Roman"/>
          <w:sz w:val="24"/>
        </w:rPr>
        <w:fldChar w:fldCharType="begin"/>
      </w:r>
      <w:r>
        <w:rPr>
          <w:rFonts w:hint="eastAsia" w:ascii="宋体" w:hAnsi="宋体" w:eastAsia="宋体" w:cs="Times New Roman"/>
          <w:sz w:val="24"/>
        </w:rPr>
        <w:instrText xml:space="preserve"> HYPERLINK "javascript:__doPostBack('ctl00$ctl00$Content$ContentMain$lbtnAttachment','')" </w:instrText>
      </w:r>
      <w:r>
        <w:rPr>
          <w:rFonts w:hint="eastAsia" w:ascii="宋体" w:hAnsi="宋体" w:eastAsia="宋体" w:cs="Times New Roman"/>
          <w:sz w:val="24"/>
        </w:rPr>
        <w:fldChar w:fldCharType="separate"/>
      </w:r>
      <w:r>
        <w:rPr>
          <w:rFonts w:hint="eastAsia" w:ascii="宋体" w:hAnsi="宋体" w:eastAsia="宋体" w:cs="Times New Roman"/>
          <w:sz w:val="24"/>
        </w:rPr>
        <w:t>浙品联〔2</w:t>
      </w:r>
      <w:r>
        <w:rPr>
          <w:rFonts w:hint="eastAsia" w:ascii="宋体" w:hAnsi="宋体" w:eastAsia="宋体" w:cs="Times New Roman"/>
          <w:sz w:val="24"/>
          <w:lang w:val="en-US" w:eastAsia="zh-CN"/>
        </w:rPr>
        <w:t>021</w:t>
      </w:r>
      <w:r>
        <w:rPr>
          <w:rFonts w:hint="eastAsia" w:ascii="宋体" w:hAnsi="宋体" w:eastAsia="宋体" w:cs="Times New Roman"/>
          <w:sz w:val="24"/>
        </w:rPr>
        <w:t>〕</w:t>
      </w:r>
      <w:r>
        <w:rPr>
          <w:rFonts w:hint="eastAsia" w:ascii="宋体" w:hAnsi="宋体" w:eastAsia="宋体" w:cs="Times New Roman"/>
          <w:sz w:val="24"/>
          <w:lang w:val="en-US" w:eastAsia="zh-CN"/>
        </w:rPr>
        <w:t>10</w:t>
      </w:r>
      <w:r>
        <w:rPr>
          <w:rFonts w:hint="eastAsia" w:ascii="宋体" w:hAnsi="宋体" w:eastAsia="宋体" w:cs="Times New Roman"/>
          <w:sz w:val="24"/>
        </w:rPr>
        <w:t>号</w:t>
      </w:r>
      <w:r>
        <w:rPr>
          <w:rFonts w:hint="eastAsia" w:ascii="宋体" w:hAnsi="宋体" w:eastAsia="宋体" w:cs="Times New Roman"/>
          <w:sz w:val="24"/>
          <w:lang w:eastAsia="zh-CN"/>
        </w:rPr>
        <w:t>《</w:t>
      </w:r>
      <w:r>
        <w:rPr>
          <w:rFonts w:hint="eastAsia" w:ascii="宋体" w:hAnsi="宋体" w:eastAsia="宋体" w:cs="Times New Roman"/>
          <w:sz w:val="24"/>
        </w:rPr>
        <w:t>关于发布20</w:t>
      </w:r>
      <w:r>
        <w:rPr>
          <w:rFonts w:hint="eastAsia" w:ascii="宋体" w:hAnsi="宋体" w:eastAsia="宋体" w:cs="Times New Roman"/>
          <w:sz w:val="24"/>
          <w:lang w:val="en-US" w:eastAsia="zh-CN"/>
        </w:rPr>
        <w:t>21</w:t>
      </w:r>
      <w:r>
        <w:rPr>
          <w:rFonts w:hint="eastAsia" w:ascii="宋体" w:hAnsi="宋体" w:eastAsia="宋体" w:cs="Times New Roman"/>
          <w:sz w:val="24"/>
        </w:rPr>
        <w:t>年第</w:t>
      </w:r>
      <w:r>
        <w:rPr>
          <w:rFonts w:hint="eastAsia" w:ascii="宋体" w:hAnsi="宋体" w:eastAsia="宋体" w:cs="Times New Roman"/>
          <w:sz w:val="24"/>
          <w:lang w:val="en-US" w:eastAsia="zh-CN"/>
        </w:rPr>
        <w:t>四</w:t>
      </w:r>
      <w:r>
        <w:rPr>
          <w:rFonts w:hint="eastAsia" w:ascii="宋体" w:hAnsi="宋体" w:eastAsia="宋体" w:cs="Times New Roman"/>
          <w:sz w:val="24"/>
        </w:rPr>
        <w:t>批“</w:t>
      </w:r>
      <w:r>
        <w:rPr>
          <w:rFonts w:hint="eastAsia" w:ascii="宋体" w:hAnsi="宋体" w:eastAsia="宋体" w:cs="Times New Roman"/>
          <w:sz w:val="24"/>
          <w:lang w:eastAsia="zh-CN"/>
        </w:rPr>
        <w:t>品字标</w:t>
      </w:r>
      <w:r>
        <w:rPr>
          <w:rFonts w:hint="eastAsia" w:ascii="宋体" w:hAnsi="宋体" w:eastAsia="宋体" w:cs="Times New Roman"/>
          <w:sz w:val="24"/>
        </w:rPr>
        <w:t>”</w:t>
      </w:r>
      <w:r>
        <w:rPr>
          <w:rFonts w:hint="eastAsia" w:ascii="宋体" w:hAnsi="宋体" w:eastAsia="宋体" w:cs="Times New Roman"/>
          <w:sz w:val="24"/>
          <w:lang w:eastAsia="zh-CN"/>
        </w:rPr>
        <w:t>团体</w:t>
      </w:r>
      <w:r>
        <w:rPr>
          <w:rFonts w:hint="eastAsia" w:ascii="宋体" w:hAnsi="宋体" w:eastAsia="宋体" w:cs="Times New Roman"/>
          <w:sz w:val="24"/>
        </w:rPr>
        <w:t>标准</w:t>
      </w:r>
      <w:r>
        <w:rPr>
          <w:rFonts w:hint="eastAsia" w:ascii="宋体" w:hAnsi="宋体" w:eastAsia="宋体" w:cs="Times New Roman"/>
          <w:sz w:val="24"/>
          <w:lang w:eastAsia="zh-CN"/>
        </w:rPr>
        <w:t>（“浙江制造”标准类）</w:t>
      </w:r>
      <w:r>
        <w:rPr>
          <w:rFonts w:hint="eastAsia" w:ascii="宋体" w:hAnsi="宋体" w:eastAsia="宋体" w:cs="Times New Roman"/>
          <w:sz w:val="24"/>
        </w:rPr>
        <w:t>制定计划</w:t>
      </w:r>
      <w:r>
        <w:rPr>
          <w:rFonts w:hint="eastAsia" w:ascii="宋体" w:hAnsi="宋体" w:eastAsia="宋体" w:cs="Times New Roman"/>
          <w:sz w:val="24"/>
        </w:rPr>
        <w:fldChar w:fldCharType="end"/>
      </w:r>
      <w:r>
        <w:rPr>
          <w:rFonts w:hint="eastAsia" w:ascii="宋体" w:hAnsi="宋体" w:eastAsia="宋体" w:cs="Times New Roman"/>
          <w:sz w:val="24"/>
          <w:lang w:eastAsia="zh-CN"/>
        </w:rPr>
        <w:t>的通知</w:t>
      </w:r>
      <w:r>
        <w:rPr>
          <w:rFonts w:hint="eastAsia" w:ascii="宋体" w:hAnsi="宋体" w:eastAsia="宋体" w:cs="Times New Roman"/>
          <w:sz w:val="24"/>
        </w:rPr>
        <w:t>》</w:t>
      </w:r>
      <w:r>
        <w:rPr>
          <w:rFonts w:hint="eastAsia" w:ascii="宋体" w:hAnsi="宋体" w:eastAsia="宋体" w:cs="Times New Roman"/>
          <w:sz w:val="24"/>
          <w:lang w:eastAsia="zh-CN"/>
        </w:rPr>
        <w:t>，</w:t>
      </w:r>
      <w:r>
        <w:rPr>
          <w:rFonts w:hint="eastAsia" w:ascii="宋体" w:hAnsi="宋体" w:eastAsia="宋体" w:cs="Times New Roman"/>
          <w:sz w:val="24"/>
          <w:lang w:val="en-US" w:eastAsia="zh-CN"/>
        </w:rPr>
        <w:t>项目名称：《电子钢琴》。</w:t>
      </w:r>
    </w:p>
    <w:p>
      <w:pPr>
        <w:pStyle w:val="8"/>
        <w:jc w:val="left"/>
        <w:rPr>
          <w:rFonts w:hint="eastAsia" w:ascii="宋体" w:hAnsi="宋体" w:eastAsia="宋体"/>
          <w:b/>
          <w:sz w:val="24"/>
          <w:szCs w:val="24"/>
        </w:rPr>
      </w:pPr>
      <w:r>
        <w:rPr>
          <w:rFonts w:hint="eastAsia" w:ascii="宋体" w:hAnsi="宋体" w:eastAsia="宋体"/>
          <w:b/>
          <w:sz w:val="24"/>
          <w:szCs w:val="24"/>
        </w:rPr>
        <w:t>3  标准制定工作概况</w:t>
      </w:r>
    </w:p>
    <w:p>
      <w:pPr>
        <w:pStyle w:val="8"/>
        <w:jc w:val="left"/>
        <w:rPr>
          <w:rFonts w:hint="eastAsia" w:ascii="宋体" w:hAnsi="宋体" w:eastAsia="宋体"/>
          <w:b/>
          <w:sz w:val="24"/>
          <w:szCs w:val="24"/>
        </w:rPr>
      </w:pPr>
      <w:r>
        <w:rPr>
          <w:rFonts w:hint="eastAsia" w:ascii="宋体" w:hAnsi="宋体" w:eastAsia="宋体"/>
          <w:b/>
          <w:sz w:val="24"/>
          <w:szCs w:val="24"/>
        </w:rPr>
        <w:t>3.1  标准制定相关单位及人员</w:t>
      </w:r>
    </w:p>
    <w:p>
      <w:pPr>
        <w:keepNext w:val="0"/>
        <w:keepLines w:val="0"/>
        <w:widowControl/>
        <w:suppressLineNumbers w:val="0"/>
        <w:jc w:val="left"/>
        <w:rPr>
          <w:rFonts w:hint="eastAsia" w:ascii="宋体" w:hAnsi="宋体"/>
          <w:sz w:val="24"/>
        </w:rPr>
      </w:pPr>
      <w:r>
        <w:rPr>
          <w:rFonts w:hint="eastAsia" w:ascii="宋体" w:hAnsi="宋体"/>
          <w:sz w:val="24"/>
        </w:rPr>
        <w:t>3.1.1  本标准牵头组织制订单位</w:t>
      </w:r>
      <w:r>
        <w:rPr>
          <w:rFonts w:hint="eastAsia" w:ascii="宋体" w:hAnsi="宋体" w:eastAsia="宋体" w:cs="Times New Roman"/>
          <w:sz w:val="24"/>
        </w:rPr>
        <w:t>：</w:t>
      </w:r>
      <w:r>
        <w:rPr>
          <w:rFonts w:hint="eastAsia" w:ascii="宋体" w:hAnsi="宋体" w:eastAsia="宋体" w:cs="Times New Roman"/>
          <w:sz w:val="24"/>
          <w:lang w:val="en-US" w:eastAsia="zh-CN"/>
        </w:rPr>
        <w:t>浙江蓝箭万帮标准技术有限公司</w:t>
      </w:r>
      <w:r>
        <w:rPr>
          <w:rFonts w:hint="eastAsia" w:ascii="宋体" w:hAnsi="宋体" w:eastAsia="宋体" w:cs="Times New Roman"/>
          <w:sz w:val="24"/>
        </w:rPr>
        <w:t>。</w:t>
      </w:r>
    </w:p>
    <w:p>
      <w:pPr>
        <w:spacing w:line="500" w:lineRule="exact"/>
        <w:rPr>
          <w:rFonts w:hint="eastAsia" w:ascii="宋体" w:hAnsi="宋体"/>
          <w:sz w:val="24"/>
        </w:rPr>
      </w:pPr>
      <w:r>
        <w:rPr>
          <w:rFonts w:hint="eastAsia" w:ascii="宋体" w:hAnsi="宋体"/>
          <w:sz w:val="24"/>
        </w:rPr>
        <w:t>3.1.2  本标准主要起草单位：</w:t>
      </w:r>
      <w:r>
        <w:rPr>
          <w:rFonts w:hint="eastAsia" w:ascii="宋体" w:hAnsi="宋体" w:eastAsia="宋体" w:cs="宋体"/>
          <w:sz w:val="24"/>
          <w:szCs w:val="36"/>
        </w:rPr>
        <w:t>杭州爱尔科乐器有限公司</w:t>
      </w:r>
      <w:r>
        <w:rPr>
          <w:rFonts w:hint="eastAsia" w:ascii="宋体" w:hAnsi="宋体"/>
          <w:sz w:val="24"/>
        </w:rPr>
        <w:t>。</w:t>
      </w:r>
    </w:p>
    <w:p>
      <w:pPr>
        <w:spacing w:line="500" w:lineRule="exact"/>
        <w:rPr>
          <w:rFonts w:hint="eastAsia" w:ascii="宋体" w:hAnsi="宋体"/>
          <w:sz w:val="24"/>
        </w:rPr>
      </w:pPr>
      <w:r>
        <w:rPr>
          <w:rFonts w:hint="eastAsia" w:ascii="宋体" w:hAnsi="宋体"/>
          <w:sz w:val="24"/>
        </w:rPr>
        <w:t>3.1.3  本标准参与起草单位：</w:t>
      </w:r>
      <w:r>
        <w:rPr>
          <w:rFonts w:hint="eastAsia" w:ascii="宋体" w:hAnsi="宋体" w:eastAsia="宋体" w:cs="Times New Roman"/>
          <w:sz w:val="24"/>
          <w:lang w:val="en-US" w:eastAsia="zh-CN"/>
        </w:rPr>
        <w:t>浙江韵乐电器有限公司</w:t>
      </w:r>
      <w:r>
        <w:rPr>
          <w:rFonts w:hint="eastAsia" w:ascii="宋体" w:hAnsi="宋体"/>
          <w:sz w:val="24"/>
          <w:lang w:eastAsia="zh-CN"/>
        </w:rPr>
        <w:t>。</w:t>
      </w:r>
    </w:p>
    <w:p>
      <w:pPr>
        <w:spacing w:line="500" w:lineRule="exact"/>
        <w:rPr>
          <w:rFonts w:hint="eastAsia" w:ascii="宋体" w:hAnsi="宋体"/>
          <w:sz w:val="24"/>
        </w:rPr>
      </w:pPr>
      <w:r>
        <w:rPr>
          <w:rFonts w:hint="eastAsia" w:ascii="宋体" w:hAnsi="宋体"/>
          <w:sz w:val="24"/>
        </w:rPr>
        <w:t>3.1.4  本标准起草人为：</w:t>
      </w:r>
      <w:r>
        <w:rPr>
          <w:rFonts w:hint="eastAsia" w:ascii="宋体" w:hAnsi="宋体"/>
          <w:sz w:val="24"/>
          <w:lang w:val="en-US" w:eastAsia="zh-CN"/>
        </w:rPr>
        <w:t>XXXXXXXXXXX</w:t>
      </w:r>
      <w:r>
        <w:rPr>
          <w:rFonts w:hint="eastAsia" w:ascii="宋体" w:hAnsi="宋体"/>
          <w:sz w:val="24"/>
        </w:rPr>
        <w:t>。</w:t>
      </w:r>
    </w:p>
    <w:p>
      <w:pPr>
        <w:pStyle w:val="8"/>
        <w:jc w:val="left"/>
        <w:rPr>
          <w:rFonts w:hint="eastAsia"/>
        </w:rPr>
      </w:pPr>
      <w:r>
        <w:rPr>
          <w:rFonts w:hint="eastAsia" w:ascii="宋体" w:hAnsi="宋体" w:eastAsia="宋体"/>
          <w:b/>
          <w:sz w:val="24"/>
          <w:szCs w:val="24"/>
        </w:rPr>
        <w:t>3.2  主要工作过程</w:t>
      </w:r>
    </w:p>
    <w:p>
      <w:pPr>
        <w:spacing w:before="156" w:beforeLines="50" w:after="156" w:afterLines="50" w:line="500" w:lineRule="exact"/>
        <w:rPr>
          <w:rFonts w:hint="eastAsia" w:ascii="宋体" w:hAnsi="宋体"/>
          <w:b/>
          <w:sz w:val="24"/>
        </w:rPr>
      </w:pPr>
      <w:r>
        <w:rPr>
          <w:rFonts w:hint="eastAsia" w:ascii="宋体" w:hAnsi="宋体"/>
          <w:b/>
          <w:sz w:val="24"/>
        </w:rPr>
        <w:t>3.2.1  前期准备工作</w:t>
      </w:r>
    </w:p>
    <w:p>
      <w:pPr>
        <w:adjustRightInd w:val="0"/>
        <w:snapToGrid w:val="0"/>
        <w:spacing w:line="360" w:lineRule="auto"/>
        <w:ind w:firstLine="480" w:firstLineChars="200"/>
        <w:rPr>
          <w:rFonts w:hint="eastAsia" w:ascii="宋体" w:hAnsi="宋体"/>
          <w:sz w:val="24"/>
        </w:rPr>
      </w:pPr>
      <w:r>
        <w:rPr>
          <w:rFonts w:hint="eastAsia" w:ascii="宋体" w:hAnsi="宋体"/>
          <w:sz w:val="24"/>
        </w:rPr>
        <w:t>按照“浙江制造”标准工作组构成要求，组建标准研制工作组，明确标准研制重点和提纲，明确各参与单位或人员职责分工、研制计划、时间进度安排。</w:t>
      </w:r>
    </w:p>
    <w:p>
      <w:pPr>
        <w:numPr>
          <w:ilvl w:val="0"/>
          <w:numId w:val="1"/>
        </w:numPr>
        <w:spacing w:line="400" w:lineRule="exact"/>
        <w:rPr>
          <w:rFonts w:hint="eastAsia" w:ascii="宋体" w:hAnsi="宋体"/>
          <w:b/>
          <w:sz w:val="24"/>
        </w:rPr>
      </w:pPr>
      <w:r>
        <w:rPr>
          <w:rFonts w:hint="eastAsia" w:ascii="宋体" w:hAnsi="宋体"/>
          <w:b/>
          <w:sz w:val="24"/>
          <w:lang w:eastAsia="zh-CN"/>
        </w:rPr>
        <w:t>市场</w:t>
      </w:r>
      <w:r>
        <w:rPr>
          <w:rFonts w:hint="eastAsia" w:ascii="宋体" w:hAnsi="宋体"/>
          <w:b/>
          <w:sz w:val="24"/>
        </w:rPr>
        <w:t>调研</w:t>
      </w:r>
    </w:p>
    <w:p>
      <w:pPr>
        <w:adjustRightInd w:val="0"/>
        <w:snapToGrid w:val="0"/>
        <w:spacing w:before="240" w:line="360" w:lineRule="auto"/>
        <w:ind w:firstLine="480" w:firstLineChars="200"/>
        <w:rPr>
          <w:rFonts w:hint="eastAsia" w:ascii="宋体" w:hAnsi="宋体"/>
          <w:sz w:val="24"/>
        </w:rPr>
      </w:pPr>
      <w:r>
        <w:rPr>
          <w:rFonts w:hint="eastAsia" w:ascii="宋体" w:hAnsi="宋体"/>
          <w:sz w:val="24"/>
        </w:rPr>
        <w:t>对产品市场和调研，对“浙江制造”标准立项相关资料，相关标准和要求进行收集整理。</w:t>
      </w:r>
    </w:p>
    <w:p>
      <w:pPr>
        <w:numPr>
          <w:ilvl w:val="0"/>
          <w:numId w:val="1"/>
        </w:numPr>
        <w:spacing w:line="400" w:lineRule="exact"/>
        <w:rPr>
          <w:rFonts w:hint="eastAsia" w:ascii="宋体" w:hAnsi="宋体"/>
          <w:b/>
          <w:sz w:val="24"/>
        </w:rPr>
      </w:pPr>
      <w:r>
        <w:rPr>
          <w:rFonts w:hint="eastAsia" w:ascii="宋体" w:hAnsi="宋体"/>
          <w:b/>
          <w:sz w:val="24"/>
        </w:rPr>
        <w:t>成立标准工作组</w:t>
      </w:r>
    </w:p>
    <w:p>
      <w:pPr>
        <w:spacing w:line="500" w:lineRule="exact"/>
        <w:ind w:firstLine="480" w:firstLineChars="200"/>
        <w:rPr>
          <w:rFonts w:hint="eastAsia" w:ascii="宋体" w:hAnsi="宋体"/>
          <w:sz w:val="24"/>
        </w:rPr>
      </w:pPr>
      <w:r>
        <w:rPr>
          <w:rFonts w:hint="eastAsia" w:ascii="宋体" w:hAnsi="宋体"/>
          <w:sz w:val="24"/>
        </w:rPr>
        <w:t>根据省品牌联下达的“浙江制造”标准《</w:t>
      </w:r>
      <w:r>
        <w:rPr>
          <w:rFonts w:hint="eastAsia" w:ascii="宋体" w:hAnsi="宋体"/>
          <w:sz w:val="24"/>
          <w:lang w:val="en-US" w:eastAsia="zh-CN"/>
        </w:rPr>
        <w:t>电子钢琴</w:t>
      </w:r>
      <w:r>
        <w:rPr>
          <w:rFonts w:hint="eastAsia" w:ascii="宋体" w:hAnsi="宋体"/>
          <w:sz w:val="24"/>
        </w:rPr>
        <w:t>》制订计划，主起草单位</w:t>
      </w:r>
      <w:r>
        <w:rPr>
          <w:rFonts w:hint="eastAsia" w:ascii="宋体" w:hAnsi="宋体" w:eastAsia="宋体" w:cs="宋体"/>
          <w:sz w:val="24"/>
          <w:szCs w:val="36"/>
        </w:rPr>
        <w:t>杭州爱尔科乐器有限公司</w:t>
      </w:r>
      <w:r>
        <w:rPr>
          <w:rFonts w:hint="eastAsia" w:ascii="宋体" w:hAnsi="宋体"/>
          <w:sz w:val="24"/>
        </w:rPr>
        <w:t>为了更好地开展编制工作，</w:t>
      </w:r>
      <w:r>
        <w:rPr>
          <w:rFonts w:hint="eastAsia" w:ascii="宋体" w:hAnsi="宋体"/>
          <w:sz w:val="24"/>
          <w:lang w:val="en-US" w:eastAsia="zh-CN"/>
        </w:rPr>
        <w:t>积极</w:t>
      </w:r>
      <w:r>
        <w:rPr>
          <w:rFonts w:hint="eastAsia" w:ascii="宋体" w:hAnsi="宋体"/>
          <w:sz w:val="24"/>
        </w:rPr>
        <w:t>成立了标准工作组，明确了各参与单位及人员的职责分工，按照类型主要分为生产型企业、检测机构、</w:t>
      </w:r>
      <w:r>
        <w:rPr>
          <w:rFonts w:hint="eastAsia" w:ascii="宋体" w:hAnsi="宋体"/>
          <w:sz w:val="24"/>
          <w:lang w:eastAsia="zh-CN"/>
        </w:rPr>
        <w:t>用户代表</w:t>
      </w:r>
      <w:r>
        <w:rPr>
          <w:rFonts w:hint="eastAsia" w:ascii="宋体" w:hAnsi="宋体"/>
          <w:sz w:val="24"/>
        </w:rPr>
        <w:t>等3类，具体参与人员见工作组人员清单。其中</w:t>
      </w:r>
      <w:r>
        <w:rPr>
          <w:rFonts w:hint="eastAsia" w:ascii="宋体" w:hAnsi="宋体" w:eastAsia="宋体" w:cs="Times New Roman"/>
          <w:sz w:val="24"/>
          <w:lang w:val="en-US" w:eastAsia="zh-CN"/>
        </w:rPr>
        <w:t>浙江蓝箭万帮标准技术有限公司</w:t>
      </w:r>
      <w:r>
        <w:rPr>
          <w:rFonts w:hint="eastAsia" w:ascii="宋体" w:hAnsi="宋体"/>
          <w:sz w:val="24"/>
        </w:rPr>
        <w:t>负责整个标准制定过程的流程、组织协调，以及标准、编制说明等技术文本的审查，征求意见汇总等。</w:t>
      </w:r>
      <w:r>
        <w:rPr>
          <w:rFonts w:hint="eastAsia" w:ascii="宋体" w:hAnsi="宋体" w:eastAsia="宋体" w:cs="宋体"/>
          <w:sz w:val="24"/>
          <w:szCs w:val="36"/>
        </w:rPr>
        <w:t>杭州爱尔科乐器有限公司</w:t>
      </w:r>
      <w:r>
        <w:rPr>
          <w:rFonts w:hint="eastAsia" w:ascii="宋体" w:hAnsi="宋体"/>
          <w:sz w:val="24"/>
        </w:rPr>
        <w:t>负责技术文本初稿的准备，样品送检等，其它工作组成员对技术指标的先进性和可操作性进行把关。</w:t>
      </w:r>
    </w:p>
    <w:p>
      <w:pPr>
        <w:numPr>
          <w:ilvl w:val="0"/>
          <w:numId w:val="1"/>
        </w:numPr>
        <w:spacing w:line="400" w:lineRule="exact"/>
        <w:rPr>
          <w:rFonts w:hint="eastAsia" w:ascii="宋体" w:hAnsi="宋体"/>
          <w:b/>
          <w:sz w:val="24"/>
        </w:rPr>
      </w:pPr>
      <w:r>
        <w:rPr>
          <w:rFonts w:hint="eastAsia" w:ascii="宋体" w:hAnsi="宋体"/>
          <w:b/>
          <w:sz w:val="24"/>
        </w:rPr>
        <w:t>明确研制重点</w:t>
      </w:r>
    </w:p>
    <w:p>
      <w:pPr>
        <w:adjustRightInd w:val="0"/>
        <w:snapToGrid w:val="0"/>
        <w:spacing w:before="240" w:line="360" w:lineRule="auto"/>
        <w:ind w:firstLine="480" w:firstLineChars="200"/>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电子钢琴</w:t>
      </w:r>
      <w:r>
        <w:rPr>
          <w:rFonts w:hint="eastAsia" w:ascii="宋体" w:hAnsi="宋体"/>
          <w:sz w:val="24"/>
          <w:highlight w:val="none"/>
        </w:rPr>
        <w:t>》标准研制的重点包括：名称、范围、</w:t>
      </w:r>
      <w:r>
        <w:rPr>
          <w:rFonts w:hint="eastAsia" w:ascii="宋体" w:hAnsi="宋体"/>
          <w:sz w:val="24"/>
          <w:highlight w:val="none"/>
          <w:lang w:val="en-US" w:eastAsia="zh-CN"/>
        </w:rPr>
        <w:t>术语和定义、分类、</w:t>
      </w:r>
      <w:r>
        <w:rPr>
          <w:rFonts w:ascii="宋体" w:hAnsi="宋体"/>
          <w:sz w:val="24"/>
          <w:highlight w:val="none"/>
        </w:rPr>
        <w:t>基本要求、技术要求、</w:t>
      </w:r>
      <w:r>
        <w:rPr>
          <w:rFonts w:hint="eastAsia" w:ascii="宋体" w:hAnsi="宋体"/>
          <w:sz w:val="24"/>
          <w:highlight w:val="none"/>
          <w:lang w:val="en-US" w:eastAsia="zh-CN"/>
        </w:rPr>
        <w:t>废弃物品的回收利用、测试</w:t>
      </w:r>
      <w:r>
        <w:rPr>
          <w:rFonts w:ascii="宋体" w:hAnsi="宋体"/>
          <w:sz w:val="24"/>
          <w:highlight w:val="none"/>
        </w:rPr>
        <w:t>方法、检验规则</w:t>
      </w:r>
      <w:r>
        <w:rPr>
          <w:rFonts w:hint="eastAsia" w:ascii="宋体" w:hAnsi="宋体"/>
          <w:sz w:val="24"/>
          <w:highlight w:val="none"/>
        </w:rPr>
        <w:t>、</w:t>
      </w:r>
      <w:r>
        <w:rPr>
          <w:rFonts w:ascii="宋体" w:hAnsi="宋体"/>
          <w:sz w:val="24"/>
          <w:highlight w:val="none"/>
        </w:rPr>
        <w:t>标志、包装、运输和贮存以及质量承诺</w:t>
      </w:r>
      <w:r>
        <w:rPr>
          <w:rFonts w:hint="eastAsia" w:ascii="宋体" w:hAnsi="宋体"/>
          <w:sz w:val="24"/>
          <w:highlight w:val="none"/>
        </w:rPr>
        <w:t>等，其中在基本要求中提炼出能体现企业先进性的亮点、质量承诺体现企业对产品质量的信心等。</w:t>
      </w:r>
    </w:p>
    <w:p>
      <w:pPr>
        <w:numPr>
          <w:ilvl w:val="0"/>
          <w:numId w:val="1"/>
        </w:numPr>
        <w:spacing w:line="400" w:lineRule="exact"/>
        <w:rPr>
          <w:rFonts w:hint="eastAsia" w:ascii="宋体" w:hAnsi="宋体"/>
          <w:b/>
          <w:sz w:val="24"/>
          <w:highlight w:val="none"/>
        </w:rPr>
      </w:pPr>
      <w:r>
        <w:rPr>
          <w:rFonts w:hint="eastAsia" w:ascii="宋体" w:hAnsi="宋体"/>
          <w:b/>
          <w:sz w:val="24"/>
          <w:highlight w:val="none"/>
        </w:rPr>
        <w:t>研制计划及时间安排</w:t>
      </w:r>
    </w:p>
    <w:p>
      <w:pPr>
        <w:tabs>
          <w:tab w:val="left" w:pos="2160"/>
        </w:tabs>
        <w:spacing w:line="500" w:lineRule="exact"/>
        <w:ind w:firstLine="480" w:firstLineChars="200"/>
        <w:rPr>
          <w:rFonts w:hint="eastAsia" w:ascii="宋体" w:hAnsi="宋体"/>
          <w:sz w:val="24"/>
          <w:highlight w:val="none"/>
        </w:rPr>
      </w:pPr>
      <w:r>
        <w:rPr>
          <w:rFonts w:hint="eastAsia" w:ascii="宋体" w:hAnsi="宋体"/>
          <w:sz w:val="24"/>
          <w:highlight w:val="none"/>
        </w:rPr>
        <w:t>（1）20</w:t>
      </w:r>
      <w:r>
        <w:rPr>
          <w:rFonts w:hint="eastAsia" w:ascii="宋体" w:hAnsi="宋体"/>
          <w:sz w:val="24"/>
          <w:highlight w:val="none"/>
          <w:lang w:val="en-US" w:eastAsia="zh-CN"/>
        </w:rPr>
        <w:t>21</w:t>
      </w:r>
      <w:r>
        <w:rPr>
          <w:rFonts w:hint="eastAsia" w:ascii="宋体" w:hAnsi="宋体"/>
          <w:sz w:val="24"/>
          <w:highlight w:val="none"/>
        </w:rPr>
        <w:t>年</w:t>
      </w:r>
      <w:r>
        <w:rPr>
          <w:rFonts w:hint="eastAsia" w:ascii="宋体" w:hAnsi="宋体"/>
          <w:sz w:val="24"/>
          <w:highlight w:val="none"/>
          <w:lang w:val="en-US" w:eastAsia="zh-CN"/>
        </w:rPr>
        <w:t>7</w:t>
      </w:r>
      <w:r>
        <w:rPr>
          <w:rFonts w:hint="eastAsia" w:ascii="宋体" w:hAnsi="宋体"/>
          <w:sz w:val="24"/>
          <w:highlight w:val="none"/>
        </w:rPr>
        <w:t>月前期调研、起草阶段：完成实地调研和相关标准的收集整理；标准工作组编写标准（草案）及标准编制说明。</w:t>
      </w:r>
    </w:p>
    <w:p>
      <w:pPr>
        <w:tabs>
          <w:tab w:val="left" w:pos="2160"/>
        </w:tabs>
        <w:spacing w:line="500" w:lineRule="exact"/>
        <w:ind w:firstLine="480" w:firstLineChars="200"/>
        <w:rPr>
          <w:rFonts w:hint="eastAsia" w:ascii="宋体" w:hAnsi="宋体"/>
          <w:sz w:val="24"/>
          <w:highlight w:val="none"/>
        </w:rPr>
      </w:pPr>
      <w:r>
        <w:rPr>
          <w:rFonts w:hint="eastAsia" w:ascii="宋体" w:hAnsi="宋体"/>
          <w:sz w:val="24"/>
          <w:highlight w:val="none"/>
        </w:rPr>
        <w:t>（2）20</w:t>
      </w:r>
      <w:r>
        <w:rPr>
          <w:rFonts w:hint="eastAsia" w:ascii="宋体" w:hAnsi="宋体"/>
          <w:sz w:val="24"/>
          <w:highlight w:val="none"/>
          <w:lang w:val="en-US" w:eastAsia="zh-CN"/>
        </w:rPr>
        <w:t>21</w:t>
      </w:r>
      <w:r>
        <w:rPr>
          <w:rFonts w:hint="eastAsia" w:ascii="宋体" w:hAnsi="宋体"/>
          <w:sz w:val="24"/>
          <w:highlight w:val="none"/>
        </w:rPr>
        <w:t>年</w:t>
      </w:r>
      <w:r>
        <w:rPr>
          <w:rFonts w:hint="eastAsia" w:ascii="宋体" w:hAnsi="宋体"/>
          <w:sz w:val="24"/>
          <w:highlight w:val="none"/>
          <w:lang w:val="en-US" w:eastAsia="zh-CN"/>
        </w:rPr>
        <w:t>8</w:t>
      </w:r>
      <w:r>
        <w:rPr>
          <w:rFonts w:hint="eastAsia" w:ascii="宋体" w:hAnsi="宋体"/>
          <w:sz w:val="24"/>
          <w:highlight w:val="none"/>
        </w:rPr>
        <w:t>月：召开标准启动暨研讨会</w:t>
      </w:r>
      <w:r>
        <w:rPr>
          <w:rFonts w:hint="eastAsia" w:ascii="宋体" w:hAnsi="宋体"/>
          <w:sz w:val="24"/>
          <w:highlight w:val="none"/>
          <w:lang w:eastAsia="zh-CN"/>
        </w:rPr>
        <w:t>。</w:t>
      </w:r>
    </w:p>
    <w:p>
      <w:pPr>
        <w:tabs>
          <w:tab w:val="left" w:pos="2160"/>
        </w:tabs>
        <w:spacing w:line="500" w:lineRule="exact"/>
        <w:ind w:firstLine="480" w:firstLineChars="20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2021年8月，</w:t>
      </w:r>
      <w:r>
        <w:rPr>
          <w:rFonts w:hint="eastAsia" w:ascii="宋体" w:hAnsi="宋体"/>
          <w:sz w:val="24"/>
          <w:highlight w:val="none"/>
        </w:rPr>
        <w:t>根据征求意见，汇总成征求意见汇总表，并根据意见反馈修改文本，编制标准送审稿及其它送审材料并推荐评审专家，提交送审材料并等待评审会召开。</w:t>
      </w:r>
    </w:p>
    <w:p>
      <w:pPr>
        <w:tabs>
          <w:tab w:val="left" w:pos="2160"/>
        </w:tabs>
        <w:spacing w:line="500" w:lineRule="exact"/>
        <w:ind w:firstLine="480" w:firstLine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4</w:t>
      </w:r>
      <w:r>
        <w:rPr>
          <w:rFonts w:hint="eastAsia" w:ascii="宋体" w:hAnsi="宋体"/>
          <w:sz w:val="24"/>
          <w:highlight w:val="none"/>
          <w:lang w:eastAsia="zh-CN"/>
        </w:rPr>
        <w:t>）</w:t>
      </w:r>
      <w:r>
        <w:rPr>
          <w:rFonts w:hint="eastAsia" w:ascii="宋体" w:hAnsi="宋体"/>
          <w:sz w:val="24"/>
          <w:highlight w:val="none"/>
        </w:rPr>
        <w:t>20</w:t>
      </w:r>
      <w:r>
        <w:rPr>
          <w:rFonts w:hint="eastAsia" w:ascii="宋体" w:hAnsi="宋体"/>
          <w:sz w:val="24"/>
          <w:highlight w:val="none"/>
          <w:lang w:val="en-US" w:eastAsia="zh-CN"/>
        </w:rPr>
        <w:t>21</w:t>
      </w:r>
      <w:r>
        <w:rPr>
          <w:rFonts w:hint="eastAsia" w:ascii="宋体" w:hAnsi="宋体"/>
          <w:sz w:val="24"/>
          <w:highlight w:val="none"/>
        </w:rPr>
        <w:t>年</w:t>
      </w:r>
      <w:r>
        <w:rPr>
          <w:rFonts w:hint="eastAsia" w:ascii="宋体" w:hAnsi="宋体"/>
          <w:sz w:val="24"/>
          <w:highlight w:val="none"/>
          <w:lang w:val="en-US" w:eastAsia="zh-CN"/>
        </w:rPr>
        <w:t>9</w:t>
      </w:r>
      <w:r>
        <w:rPr>
          <w:rFonts w:hint="eastAsia" w:ascii="宋体" w:hAnsi="宋体"/>
          <w:sz w:val="24"/>
          <w:highlight w:val="none"/>
        </w:rPr>
        <w:t>月：研讨会后形成标准（征求意见稿），并向利益相关方等发送电子版标准征求意见稿，征求意见。</w:t>
      </w:r>
    </w:p>
    <w:p>
      <w:pPr>
        <w:tabs>
          <w:tab w:val="left" w:pos="2160"/>
        </w:tabs>
        <w:spacing w:line="500" w:lineRule="exact"/>
        <w:ind w:firstLine="480" w:firstLineChars="200"/>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5</w:t>
      </w:r>
      <w:r>
        <w:rPr>
          <w:rFonts w:hint="eastAsia" w:ascii="宋体" w:hAnsi="宋体"/>
          <w:sz w:val="24"/>
          <w:highlight w:val="none"/>
        </w:rPr>
        <w:t>）20</w:t>
      </w:r>
      <w:r>
        <w:rPr>
          <w:rFonts w:hint="eastAsia" w:ascii="宋体" w:hAnsi="宋体"/>
          <w:sz w:val="24"/>
          <w:highlight w:val="none"/>
          <w:lang w:val="en-US" w:eastAsia="zh-CN"/>
        </w:rPr>
        <w:t>21年10</w:t>
      </w:r>
      <w:r>
        <w:rPr>
          <w:rFonts w:hint="eastAsia" w:ascii="宋体" w:hAnsi="宋体"/>
          <w:sz w:val="24"/>
          <w:highlight w:val="none"/>
        </w:rPr>
        <w:t>月：评审阶段，召开标准评审会。专家对标准送审稿及其它送审材料进行评审，给出评定建议。</w:t>
      </w:r>
    </w:p>
    <w:p>
      <w:pPr>
        <w:tabs>
          <w:tab w:val="left" w:pos="2160"/>
        </w:tabs>
        <w:spacing w:line="500" w:lineRule="exact"/>
        <w:ind w:firstLine="480" w:firstLineChars="200"/>
        <w:rPr>
          <w:rFonts w:hint="eastAsia"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6</w:t>
      </w:r>
      <w:r>
        <w:rPr>
          <w:rFonts w:hint="eastAsia" w:ascii="宋体" w:hAnsi="宋体"/>
          <w:sz w:val="24"/>
          <w:highlight w:val="none"/>
        </w:rPr>
        <w:t>）20</w:t>
      </w:r>
      <w:r>
        <w:rPr>
          <w:rFonts w:hint="eastAsia" w:ascii="宋体" w:hAnsi="宋体"/>
          <w:sz w:val="24"/>
          <w:highlight w:val="none"/>
          <w:lang w:val="en-US" w:eastAsia="zh-CN"/>
        </w:rPr>
        <w:t>21</w:t>
      </w:r>
      <w:r>
        <w:rPr>
          <w:rFonts w:hint="eastAsia" w:ascii="宋体" w:hAnsi="宋体"/>
          <w:sz w:val="24"/>
          <w:highlight w:val="none"/>
        </w:rPr>
        <w:t>年</w:t>
      </w:r>
      <w:r>
        <w:rPr>
          <w:rFonts w:hint="eastAsia" w:ascii="宋体" w:hAnsi="宋体"/>
          <w:sz w:val="24"/>
          <w:highlight w:val="none"/>
          <w:lang w:val="en-US" w:eastAsia="zh-CN"/>
        </w:rPr>
        <w:t>11</w:t>
      </w:r>
      <w:r>
        <w:rPr>
          <w:rFonts w:hint="eastAsia" w:ascii="宋体" w:hAnsi="宋体"/>
          <w:sz w:val="24"/>
          <w:highlight w:val="none"/>
        </w:rPr>
        <w:t>月：根据评审会专家评定建议，对标准（送审稿）进行审查，并根据专家意见对送审稿进行修改完善，形成标准（报批稿），同步完善其它报批材料，并提交等待标准发布。</w:t>
      </w:r>
    </w:p>
    <w:p>
      <w:pPr>
        <w:spacing w:before="156" w:beforeLines="50" w:after="156" w:afterLines="50" w:line="500" w:lineRule="exact"/>
        <w:rPr>
          <w:rFonts w:hint="eastAsia" w:ascii="宋体" w:hAnsi="宋体"/>
          <w:b/>
          <w:sz w:val="24"/>
        </w:rPr>
      </w:pPr>
      <w:r>
        <w:rPr>
          <w:rFonts w:hint="eastAsia" w:ascii="宋体" w:hAnsi="宋体"/>
          <w:b/>
          <w:sz w:val="24"/>
        </w:rPr>
        <w:t>3.2.2  标准草案研制</w:t>
      </w:r>
    </w:p>
    <w:p>
      <w:pPr>
        <w:spacing w:before="156" w:beforeLines="50" w:after="156" w:afterLines="50" w:line="500" w:lineRule="exact"/>
        <w:rPr>
          <w:rFonts w:hint="eastAsia" w:ascii="宋体" w:hAnsi="宋体"/>
          <w:b/>
          <w:sz w:val="24"/>
        </w:rPr>
      </w:pPr>
      <w:r>
        <w:rPr>
          <w:rFonts w:hint="eastAsia" w:ascii="宋体" w:hAnsi="宋体"/>
          <w:b/>
          <w:sz w:val="24"/>
        </w:rPr>
        <w:t>3.2.2.1  针对型式试验内规定的全技术指标先进性研讨情况</w:t>
      </w:r>
    </w:p>
    <w:p>
      <w:pPr>
        <w:spacing w:line="500" w:lineRule="exact"/>
        <w:ind w:firstLine="480"/>
        <w:rPr>
          <w:rFonts w:hint="eastAsia" w:ascii="宋体" w:hAnsi="宋体"/>
          <w:sz w:val="24"/>
          <w:highlight w:val="none"/>
        </w:rPr>
      </w:pPr>
      <w:r>
        <w:rPr>
          <w:rFonts w:hint="eastAsia" w:ascii="宋体" w:hAnsi="宋体"/>
          <w:sz w:val="24"/>
          <w:highlight w:val="none"/>
        </w:rPr>
        <w:t>本标准（草案）于</w:t>
      </w:r>
      <w:r>
        <w:rPr>
          <w:rFonts w:ascii="宋体" w:hAnsi="宋体"/>
          <w:sz w:val="24"/>
          <w:highlight w:val="none"/>
        </w:rPr>
        <w:t>20</w:t>
      </w:r>
      <w:r>
        <w:rPr>
          <w:rFonts w:hint="eastAsia" w:ascii="宋体" w:hAnsi="宋体"/>
          <w:sz w:val="24"/>
          <w:highlight w:val="none"/>
          <w:lang w:val="en-US" w:eastAsia="zh-CN"/>
        </w:rPr>
        <w:t>21</w:t>
      </w:r>
      <w:r>
        <w:rPr>
          <w:rFonts w:hint="eastAsia" w:ascii="宋体" w:hAnsi="宋体"/>
          <w:sz w:val="24"/>
          <w:highlight w:val="none"/>
        </w:rPr>
        <w:t>年</w:t>
      </w:r>
      <w:r>
        <w:rPr>
          <w:rFonts w:hint="eastAsia" w:ascii="宋体" w:hAnsi="宋体"/>
          <w:sz w:val="24"/>
          <w:highlight w:val="none"/>
          <w:lang w:val="en-US" w:eastAsia="zh-CN"/>
        </w:rPr>
        <w:t>7</w:t>
      </w:r>
      <w:r>
        <w:rPr>
          <w:rFonts w:hint="eastAsia" w:ascii="宋体" w:hAnsi="宋体"/>
          <w:sz w:val="24"/>
          <w:highlight w:val="none"/>
        </w:rPr>
        <w:t>月研制完成；充分考虑了“浙江制造”标准制订框架要求、编制理念和定位要求等，全面体现了标准的先进性。</w:t>
      </w:r>
    </w:p>
    <w:p>
      <w:pPr>
        <w:spacing w:line="500" w:lineRule="exact"/>
        <w:ind w:firstLine="480"/>
        <w:rPr>
          <w:rFonts w:hint="eastAsia" w:ascii="宋体" w:hAnsi="宋体" w:eastAsia="宋体" w:cs="Times New Roman"/>
          <w:sz w:val="24"/>
        </w:rPr>
      </w:pPr>
      <w:r>
        <w:rPr>
          <w:rFonts w:hint="eastAsia" w:ascii="宋体" w:hAnsi="宋体" w:eastAsia="宋体" w:cs="Times New Roman"/>
          <w:sz w:val="24"/>
        </w:rPr>
        <w:t>标准工作组针对“浙江制造”标准的编制理念， 以“国内一流、国际先进”的定位要求，参考了国内市场高端产品的性能指标情况，考虑主要客户的技术要求，对技术指标的先进性、产品的基本要求、质量保证方面等逐一进行研讨，研讨会后按照“浙江制造”标准制定框架要求形成《</w:t>
      </w:r>
      <w:r>
        <w:rPr>
          <w:rFonts w:hint="eastAsia" w:ascii="宋体" w:hAnsi="宋体" w:eastAsia="宋体" w:cs="Times New Roman"/>
          <w:sz w:val="24"/>
          <w:lang w:val="en-US" w:eastAsia="zh-CN"/>
        </w:rPr>
        <w:t>电子钢琴</w:t>
      </w:r>
      <w:r>
        <w:rPr>
          <w:rFonts w:hint="eastAsia" w:ascii="宋体" w:hAnsi="宋体" w:eastAsia="宋体" w:cs="Times New Roman"/>
          <w:sz w:val="24"/>
        </w:rPr>
        <w:t>》标准草案。</w:t>
      </w:r>
    </w:p>
    <w:p>
      <w:pPr>
        <w:spacing w:after="240" w:line="500" w:lineRule="exact"/>
        <w:rPr>
          <w:rFonts w:hint="eastAsia" w:ascii="宋体" w:hAnsi="宋体"/>
          <w:b/>
          <w:sz w:val="24"/>
        </w:rPr>
      </w:pPr>
      <w:r>
        <w:rPr>
          <w:rFonts w:hint="eastAsia" w:ascii="宋体" w:hAnsi="宋体"/>
          <w:b/>
          <w:sz w:val="24"/>
        </w:rPr>
        <w:t>3.2.2.2  针对基本要求、质量保证方面的先进性研讨情况</w:t>
      </w:r>
    </w:p>
    <w:p>
      <w:pPr>
        <w:spacing w:line="500" w:lineRule="exact"/>
        <w:ind w:firstLine="480"/>
        <w:rPr>
          <w:rFonts w:ascii="宋体" w:hAnsi="宋体"/>
          <w:sz w:val="24"/>
          <w:highlight w:val="none"/>
        </w:rPr>
      </w:pPr>
      <w:r>
        <w:rPr>
          <w:rFonts w:hint="eastAsia" w:ascii="宋体" w:hAnsi="宋体"/>
          <w:sz w:val="24"/>
          <w:highlight w:val="none"/>
        </w:rPr>
        <w:t>为响应“浙江制造”标准作为产品综合性标准的理念，从产品的全生命周期角度出发，标准研制工作组围绕《</w:t>
      </w:r>
      <w:r>
        <w:rPr>
          <w:rFonts w:hint="eastAsia" w:ascii="宋体" w:hAnsi="宋体"/>
          <w:sz w:val="24"/>
          <w:highlight w:val="none"/>
          <w:lang w:val="en-US" w:eastAsia="zh-CN"/>
        </w:rPr>
        <w:t>电子钢琴</w:t>
      </w:r>
      <w:r>
        <w:rPr>
          <w:rFonts w:hint="eastAsia" w:ascii="宋体" w:hAnsi="宋体"/>
          <w:sz w:val="24"/>
          <w:highlight w:val="none"/>
        </w:rPr>
        <w:t>》的研发</w:t>
      </w:r>
      <w:r>
        <w:rPr>
          <w:rFonts w:hint="eastAsia" w:ascii="宋体" w:hAnsi="宋体"/>
          <w:sz w:val="24"/>
          <w:highlight w:val="none"/>
          <w:lang w:val="en-US" w:eastAsia="zh-CN"/>
        </w:rPr>
        <w:t>设计</w:t>
      </w:r>
      <w:r>
        <w:rPr>
          <w:rFonts w:hint="eastAsia" w:ascii="宋体" w:hAnsi="宋体"/>
          <w:sz w:val="24"/>
          <w:highlight w:val="none"/>
        </w:rPr>
        <w:t>、原材料、</w:t>
      </w:r>
      <w:r>
        <w:rPr>
          <w:rFonts w:hint="eastAsia" w:ascii="宋体" w:hAnsi="宋体"/>
          <w:sz w:val="24"/>
          <w:highlight w:val="none"/>
          <w:lang w:val="en-US" w:eastAsia="zh-CN"/>
        </w:rPr>
        <w:t>工艺装备</w:t>
      </w:r>
      <w:r>
        <w:rPr>
          <w:rFonts w:hint="eastAsia" w:ascii="宋体" w:hAnsi="宋体"/>
          <w:sz w:val="24"/>
          <w:highlight w:val="none"/>
        </w:rPr>
        <w:t>、</w:t>
      </w:r>
      <w:r>
        <w:rPr>
          <w:rFonts w:hint="eastAsia" w:ascii="宋体" w:hAnsi="宋体"/>
          <w:sz w:val="24"/>
          <w:highlight w:val="none"/>
          <w:lang w:val="en-US" w:eastAsia="zh-CN"/>
        </w:rPr>
        <w:t>检验检测</w:t>
      </w:r>
      <w:r>
        <w:rPr>
          <w:rFonts w:hint="eastAsia" w:ascii="宋体" w:hAnsi="宋体"/>
          <w:sz w:val="24"/>
          <w:highlight w:val="none"/>
        </w:rPr>
        <w:t>出发，通过研讨会的形式，进一步进行先进性提炼，涵盖了产品的整个生命周期。</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在产品设计上：从“自主创新、精心设计”的角度出发，应用新技术原理、新设计构思，结合先进的设备生产工艺提高产品的核心技术指标，</w:t>
      </w:r>
      <w:r>
        <w:rPr>
          <w:rFonts w:hint="eastAsia" w:ascii="宋体" w:hAnsi="宋体"/>
          <w:sz w:val="24"/>
          <w:highlight w:val="none"/>
        </w:rPr>
        <w:t>采用CAD</w:t>
      </w:r>
      <w:r>
        <w:rPr>
          <w:rFonts w:hint="eastAsia" w:ascii="宋体" w:hAnsi="宋体"/>
          <w:sz w:val="24"/>
          <w:highlight w:val="none"/>
          <w:lang w:eastAsia="zh-CN"/>
        </w:rPr>
        <w:t>、</w:t>
      </w:r>
      <w:r>
        <w:rPr>
          <w:rFonts w:hint="eastAsia" w:ascii="宋体" w:hAnsi="宋体" w:cstheme="minorBidi"/>
          <w:sz w:val="24"/>
          <w:highlight w:val="none"/>
        </w:rPr>
        <w:t>Pro/E</w:t>
      </w:r>
      <w:r>
        <w:rPr>
          <w:rFonts w:hint="eastAsia" w:ascii="宋体" w:hAnsi="宋体"/>
          <w:sz w:val="24"/>
          <w:highlight w:val="none"/>
        </w:rPr>
        <w:t>等软件完成</w:t>
      </w:r>
      <w:r>
        <w:rPr>
          <w:rFonts w:hint="eastAsia" w:ascii="宋体" w:hAnsi="宋体"/>
          <w:sz w:val="24"/>
          <w:highlight w:val="none"/>
          <w:lang w:val="en-US" w:eastAsia="zh-CN"/>
        </w:rPr>
        <w:t>电子钢琴零件</w:t>
      </w:r>
      <w:r>
        <w:rPr>
          <w:rFonts w:hint="eastAsia" w:ascii="宋体" w:hAnsi="宋体"/>
          <w:sz w:val="24"/>
          <w:highlight w:val="none"/>
        </w:rPr>
        <w:t>设计</w:t>
      </w:r>
      <w:r>
        <w:rPr>
          <w:rFonts w:hint="eastAsia" w:ascii="宋体" w:hAnsi="宋体"/>
          <w:sz w:val="24"/>
          <w:highlight w:val="none"/>
          <w:lang w:eastAsia="zh-CN"/>
        </w:rPr>
        <w:t>，</w:t>
      </w:r>
      <w:r>
        <w:rPr>
          <w:rFonts w:hint="eastAsia" w:ascii="宋体" w:hAnsi="宋体"/>
          <w:sz w:val="24"/>
          <w:highlight w:val="none"/>
          <w:lang w:val="en-US" w:eastAsia="zh-CN"/>
        </w:rPr>
        <w:t>使产品均有模块化、标准化的设计特点，同时模拟琴键力度，采用专业的系统进行产品进度跟踪反馈。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仿宋"/>
          <w:bCs/>
          <w:sz w:val="24"/>
          <w:highlight w:val="none"/>
        </w:rPr>
      </w:pPr>
      <w:r>
        <w:rPr>
          <w:rFonts w:hint="eastAsia" w:ascii="宋体" w:hAnsi="宋体"/>
          <w:sz w:val="24"/>
          <w:highlight w:val="none"/>
          <w:lang w:val="en-US" w:eastAsia="zh-CN"/>
        </w:rPr>
        <w:t>2、</w:t>
      </w:r>
      <w:r>
        <w:rPr>
          <w:rFonts w:hint="eastAsia" w:ascii="宋体" w:hAnsi="宋体"/>
          <w:sz w:val="24"/>
          <w:highlight w:val="none"/>
        </w:rPr>
        <w:t>在原材料方面：</w:t>
      </w:r>
      <w:r>
        <w:rPr>
          <w:rFonts w:hint="eastAsia" w:ascii="宋体" w:hAnsi="宋体" w:eastAsia="宋体" w:cs="宋体"/>
          <w:bCs/>
          <w:sz w:val="24"/>
          <w:highlight w:val="none"/>
        </w:rPr>
        <w:t>选用</w:t>
      </w:r>
      <w:r>
        <w:rPr>
          <w:rFonts w:hint="eastAsia" w:ascii="宋体" w:hAnsi="宋体" w:eastAsia="宋体" w:cs="宋体"/>
          <w:sz w:val="24"/>
          <w:highlight w:val="none"/>
          <w:lang w:val="en-US" w:eastAsia="zh-CN"/>
        </w:rPr>
        <w:t>高亢拉斯硅胶材质</w:t>
      </w:r>
      <w:r>
        <w:rPr>
          <w:rFonts w:hint="eastAsia" w:ascii="宋体" w:hAnsi="宋体" w:eastAsia="宋体" w:cs="宋体"/>
          <w:bCs/>
          <w:sz w:val="24"/>
          <w:highlight w:val="none"/>
        </w:rPr>
        <w:t>的导电</w:t>
      </w:r>
      <w:r>
        <w:rPr>
          <w:rFonts w:hint="eastAsia" w:ascii="宋体" w:hAnsi="宋体" w:eastAsia="宋体" w:cs="仿宋"/>
          <w:bCs/>
          <w:sz w:val="24"/>
          <w:highlight w:val="none"/>
        </w:rPr>
        <w:t>胶，</w:t>
      </w:r>
      <w:r>
        <w:rPr>
          <w:rFonts w:hint="eastAsia" w:ascii="宋体" w:hAnsi="宋体" w:eastAsia="宋体" w:cs="仿宋"/>
          <w:bCs/>
          <w:sz w:val="24"/>
          <w:highlight w:val="none"/>
          <w:lang w:val="en-US" w:eastAsia="zh-CN"/>
        </w:rPr>
        <w:t>琴键使用全新的ABS原料，</w:t>
      </w:r>
      <w:r>
        <w:rPr>
          <w:rFonts w:hint="eastAsia" w:ascii="宋体" w:hAnsi="宋体" w:eastAsia="宋体" w:cs="仿宋"/>
          <w:bCs/>
          <w:sz w:val="24"/>
          <w:highlight w:val="none"/>
        </w:rPr>
        <w:t>产品质量更好、寿命更长。所有的材料均符合国家和产品相关规定，且遵循节能、安全、环保要求。</w:t>
      </w:r>
    </w:p>
    <w:p>
      <w:pPr>
        <w:widowControl/>
        <w:spacing w:before="105" w:after="105" w:line="360" w:lineRule="auto"/>
        <w:ind w:firstLine="405"/>
        <w:jc w:val="left"/>
        <w:rPr>
          <w:rFonts w:hint="eastAsia" w:ascii="宋体" w:hAnsi="宋体"/>
          <w:sz w:val="24"/>
          <w:highlight w:val="none"/>
        </w:rPr>
      </w:pPr>
      <w:r>
        <w:rPr>
          <w:rFonts w:hint="eastAsia" w:ascii="宋体" w:hAnsi="宋体"/>
          <w:sz w:val="24"/>
          <w:highlight w:val="none"/>
          <w:lang w:val="en-US" w:eastAsia="zh-CN"/>
        </w:rPr>
        <w:t>3、在工艺制造方面：</w:t>
      </w:r>
      <w:r>
        <w:rPr>
          <w:rFonts w:hint="eastAsia" w:ascii="宋体" w:hAnsi="宋体" w:eastAsia="宋体" w:cs="宋体"/>
          <w:sz w:val="24"/>
          <w:highlight w:val="none"/>
          <w:lang w:val="en-US" w:eastAsia="zh-CN"/>
        </w:rPr>
        <w:t>拥有先进的自动化生产线，先进的生产设备，同时拥有自主设计工作系统，可以跟踪产品生产发进度，并及时反馈问题；公司具备全自动焊接设备、键盘磨合机等加工设备，同时具备</w:t>
      </w:r>
      <w:r>
        <w:rPr>
          <w:rFonts w:hint="eastAsia" w:ascii="宋体" w:hAnsi="宋体" w:eastAsia="宋体" w:cs="宋体"/>
          <w:sz w:val="24"/>
          <w:highlight w:val="none"/>
        </w:rPr>
        <w:t>AI自动插件机、自动注塑机械手、键盘自动注油设备</w:t>
      </w:r>
      <w:r>
        <w:rPr>
          <w:rFonts w:hint="eastAsia" w:ascii="宋体" w:hAnsi="宋体" w:eastAsia="宋体" w:cs="宋体"/>
          <w:sz w:val="24"/>
          <w:highlight w:val="none"/>
          <w:lang w:val="en-US" w:eastAsia="zh-CN"/>
        </w:rPr>
        <w:t>、自动锁螺丝机等自动化设备</w:t>
      </w:r>
      <w:r>
        <w:rPr>
          <w:rFonts w:hint="eastAsia" w:ascii="宋体" w:hAnsi="宋体" w:eastAsia="宋体" w:cs="宋体"/>
          <w:sz w:val="24"/>
          <w:highlight w:val="none"/>
        </w:rPr>
        <w:t>。</w:t>
      </w:r>
    </w:p>
    <w:p>
      <w:pPr>
        <w:widowControl/>
        <w:spacing w:before="105" w:after="105" w:line="360" w:lineRule="auto"/>
        <w:ind w:firstLine="405"/>
        <w:jc w:val="left"/>
        <w:rPr>
          <w:rFonts w:hint="eastAsia" w:ascii="宋体" w:hAnsi="宋体" w:eastAsia="宋体" w:cs="宋体"/>
          <w:sz w:val="24"/>
          <w:lang w:val="en-US" w:eastAsia="zh-CN"/>
        </w:rPr>
      </w:pPr>
      <w:r>
        <w:rPr>
          <w:rFonts w:hint="eastAsia" w:ascii="宋体" w:hAnsi="宋体" w:eastAsia="宋体" w:cs="宋体"/>
          <w:sz w:val="24"/>
          <w:highlight w:val="none"/>
          <w:lang w:val="en-US" w:eastAsia="zh-CN"/>
        </w:rPr>
        <w:t>4、在检验检测方面：</w:t>
      </w:r>
      <w:r>
        <w:rPr>
          <w:rFonts w:hint="eastAsia" w:ascii="宋体" w:hAnsi="宋体" w:eastAsia="宋体" w:cs="宋体"/>
          <w:sz w:val="24"/>
          <w:highlight w:val="none"/>
        </w:rPr>
        <w:t>具备振动试验机、高低温实验箱、</w:t>
      </w:r>
      <w:r>
        <w:rPr>
          <w:rFonts w:hint="eastAsia" w:ascii="宋体" w:hAnsi="宋体" w:eastAsia="宋体" w:cs="宋体"/>
          <w:sz w:val="24"/>
        </w:rPr>
        <w:t>力度试验仪等检验设备</w:t>
      </w:r>
      <w:r>
        <w:rPr>
          <w:rFonts w:hint="eastAsia" w:ascii="宋体" w:hAnsi="宋体" w:eastAsia="宋体" w:cs="宋体"/>
          <w:sz w:val="24"/>
          <w:lang w:eastAsia="zh-CN"/>
        </w:rPr>
        <w:t>，</w:t>
      </w:r>
      <w:r>
        <w:rPr>
          <w:rFonts w:hint="eastAsia" w:ascii="宋体" w:hAnsi="宋体" w:eastAsia="宋体" w:cs="宋体"/>
          <w:sz w:val="24"/>
          <w:lang w:val="en-US" w:eastAsia="zh-CN"/>
        </w:rPr>
        <w:t>使产品通过力度测试仪检验，同时具备对键盘寿命的检验能力。</w:t>
      </w:r>
    </w:p>
    <w:p>
      <w:pPr>
        <w:spacing w:before="156" w:beforeLines="50" w:after="156" w:afterLines="50" w:line="500" w:lineRule="exact"/>
        <w:ind w:firstLine="480" w:firstLineChars="200"/>
        <w:rPr>
          <w:rFonts w:hint="eastAsia" w:ascii="宋体" w:hAnsi="宋体" w:cs="仿宋"/>
          <w:bCs/>
          <w:sz w:val="24"/>
          <w:highlight w:val="yellow"/>
        </w:rPr>
      </w:pPr>
      <w:r>
        <w:rPr>
          <w:rFonts w:hint="eastAsia" w:ascii="宋体" w:hAnsi="宋体" w:eastAsia="宋体" w:cs="宋体"/>
          <w:sz w:val="24"/>
          <w:lang w:val="en-US" w:eastAsia="zh-CN"/>
        </w:rPr>
        <w:t>5、在质量保证方面：</w:t>
      </w:r>
      <w:r>
        <w:rPr>
          <w:rFonts w:hint="eastAsia" w:ascii="宋体" w:hAnsi="宋体" w:eastAsia="宋体" w:cs="宋体"/>
          <w:sz w:val="24"/>
          <w:lang w:eastAsia="zh-CN"/>
        </w:rPr>
        <w:t>浙江制造标准研制工作组要求对产品做出质量安全保证承诺，</w:t>
      </w:r>
      <w:r>
        <w:rPr>
          <w:rFonts w:hint="eastAsia" w:ascii="宋体" w:hAnsi="宋体" w:eastAsia="宋体" w:cs="宋体"/>
          <w:sz w:val="24"/>
          <w:lang w:val="en-US" w:eastAsia="zh-CN"/>
        </w:rPr>
        <w:t>承诺自销售之日起12个月内如出现因制造商原因造成的质量问题，应免费更换或退回，同时承诺客户有诉求时，应在24h内响应。</w:t>
      </w:r>
    </w:p>
    <w:p>
      <w:pPr>
        <w:spacing w:before="156" w:beforeLines="50" w:after="156" w:afterLines="50" w:line="500" w:lineRule="exact"/>
        <w:rPr>
          <w:rFonts w:ascii="宋体" w:hAnsi="宋体"/>
          <w:b/>
          <w:sz w:val="24"/>
        </w:rPr>
      </w:pPr>
      <w:r>
        <w:rPr>
          <w:rFonts w:hint="eastAsia" w:ascii="宋体" w:hAnsi="宋体"/>
          <w:b/>
          <w:sz w:val="24"/>
        </w:rPr>
        <w:t>3.2.2.3按照“浙江制造”标准制订框架要求，及“浙江制造”标准编制理念和定位要求研制标准草案情况</w:t>
      </w:r>
    </w:p>
    <w:p>
      <w:pPr>
        <w:widowControl/>
        <w:tabs>
          <w:tab w:val="center" w:pos="4201"/>
          <w:tab w:val="right" w:leader="dot" w:pos="9298"/>
        </w:tabs>
        <w:autoSpaceDE w:val="0"/>
        <w:autoSpaceDN w:val="0"/>
        <w:spacing w:line="500" w:lineRule="exact"/>
        <w:ind w:firstLine="480" w:firstLineChars="200"/>
        <w:rPr>
          <w:rFonts w:hint="eastAsia" w:ascii="宋体" w:hAnsi="宋体"/>
          <w:sz w:val="24"/>
          <w:highlight w:val="none"/>
        </w:rPr>
      </w:pPr>
      <w:r>
        <w:rPr>
          <w:rFonts w:hint="eastAsia" w:ascii="宋体" w:hAnsi="宋体"/>
          <w:sz w:val="24"/>
          <w:highlight w:val="none"/>
        </w:rPr>
        <w:t>按照“浙江制造”标准制订框架要求，标准草案在范围、</w:t>
      </w:r>
      <w:r>
        <w:rPr>
          <w:rFonts w:hint="eastAsia" w:ascii="宋体" w:hAnsi="宋体"/>
          <w:sz w:val="24"/>
          <w:highlight w:val="none"/>
          <w:lang w:val="en-US" w:eastAsia="zh-CN"/>
        </w:rPr>
        <w:t>术语和定义、分类、</w:t>
      </w:r>
      <w:r>
        <w:rPr>
          <w:rFonts w:ascii="宋体" w:hAnsi="宋体"/>
          <w:sz w:val="24"/>
          <w:highlight w:val="none"/>
        </w:rPr>
        <w:t>基本要求、技术要求、</w:t>
      </w:r>
      <w:r>
        <w:rPr>
          <w:rFonts w:hint="eastAsia" w:ascii="宋体" w:hAnsi="宋体"/>
          <w:sz w:val="24"/>
          <w:highlight w:val="none"/>
          <w:lang w:val="en-US" w:eastAsia="zh-CN"/>
        </w:rPr>
        <w:t>废弃物品的回收利用、测试</w:t>
      </w:r>
      <w:r>
        <w:rPr>
          <w:rFonts w:ascii="宋体" w:hAnsi="宋体"/>
          <w:sz w:val="24"/>
          <w:highlight w:val="none"/>
        </w:rPr>
        <w:t>方法、检验规则</w:t>
      </w:r>
      <w:r>
        <w:rPr>
          <w:rFonts w:hint="eastAsia" w:ascii="宋体" w:hAnsi="宋体"/>
          <w:sz w:val="24"/>
          <w:highlight w:val="none"/>
        </w:rPr>
        <w:t>、</w:t>
      </w:r>
      <w:r>
        <w:rPr>
          <w:rFonts w:ascii="宋体" w:hAnsi="宋体"/>
          <w:sz w:val="24"/>
          <w:highlight w:val="none"/>
        </w:rPr>
        <w:t>标志、包装、运输和贮存以及质量承诺</w:t>
      </w:r>
      <w:r>
        <w:rPr>
          <w:rFonts w:hint="eastAsia" w:ascii="宋体" w:hAnsi="宋体"/>
          <w:sz w:val="24"/>
          <w:highlight w:val="none"/>
        </w:rPr>
        <w:t>等各个方面进行了全方位的阐述。按照“国内一流、国际先进”的要求，以国家标准为基础，对标国内先进标准及标杆企业，对标国际法律法规要求，力求体现最先进的浙江制造工艺，用高质量来保障品牌生命，成为</w:t>
      </w:r>
      <w:r>
        <w:rPr>
          <w:rFonts w:hint="eastAsia" w:ascii="宋体" w:hAnsi="宋体"/>
          <w:sz w:val="24"/>
          <w:highlight w:val="none"/>
          <w:lang w:val="en-US" w:eastAsia="zh-CN"/>
        </w:rPr>
        <w:t>电子钢琴</w:t>
      </w:r>
      <w:r>
        <w:rPr>
          <w:rFonts w:hint="eastAsia" w:ascii="宋体" w:hAnsi="宋体"/>
          <w:sz w:val="24"/>
          <w:highlight w:val="none"/>
          <w:lang w:eastAsia="zh-CN"/>
        </w:rPr>
        <w:t>行业</w:t>
      </w:r>
      <w:r>
        <w:rPr>
          <w:rFonts w:hint="eastAsia" w:ascii="宋体" w:hAnsi="宋体"/>
          <w:sz w:val="24"/>
          <w:highlight w:val="none"/>
        </w:rPr>
        <w:t>的标杆和领跑者，力求成为浙江制造</w:t>
      </w:r>
      <w:r>
        <w:rPr>
          <w:rFonts w:hint="eastAsia" w:ascii="宋体" w:hAnsi="宋体"/>
          <w:sz w:val="24"/>
          <w:highlight w:val="none"/>
          <w:lang w:val="en-US" w:eastAsia="zh-CN"/>
        </w:rPr>
        <w:t>电子钢琴</w:t>
      </w:r>
      <w:r>
        <w:rPr>
          <w:rFonts w:hint="eastAsia" w:ascii="宋体" w:hAnsi="宋体"/>
          <w:sz w:val="24"/>
          <w:highlight w:val="none"/>
        </w:rPr>
        <w:t>相关标准的先进标准。</w:t>
      </w:r>
    </w:p>
    <w:p>
      <w:pPr>
        <w:spacing w:before="156" w:beforeLines="50" w:after="156" w:afterLines="50" w:line="500" w:lineRule="exact"/>
        <w:rPr>
          <w:rFonts w:ascii="宋体" w:hAnsi="宋体"/>
          <w:b/>
          <w:sz w:val="24"/>
          <w:highlight w:val="none"/>
        </w:rPr>
      </w:pPr>
      <w:r>
        <w:rPr>
          <w:rFonts w:hint="eastAsia" w:ascii="宋体" w:hAnsi="宋体"/>
          <w:b/>
          <w:sz w:val="24"/>
          <w:highlight w:val="none"/>
        </w:rPr>
        <w:t>3.2.3  征求意见</w:t>
      </w:r>
    </w:p>
    <w:p>
      <w:pPr>
        <w:spacing w:before="156" w:beforeLines="50" w:after="156" w:afterLines="50" w:line="500" w:lineRule="exact"/>
        <w:rPr>
          <w:rFonts w:hint="eastAsia" w:ascii="宋体" w:hAnsi="宋体" w:eastAsia="宋体" w:cs="Times New Roman"/>
          <w:b/>
          <w:sz w:val="24"/>
          <w:highlight w:val="none"/>
        </w:rPr>
      </w:pPr>
      <w:r>
        <w:rPr>
          <w:rFonts w:hint="eastAsia" w:ascii="宋体" w:hAnsi="宋体" w:eastAsia="宋体" w:cs="Times New Roman"/>
          <w:b/>
          <w:sz w:val="24"/>
          <w:highlight w:val="none"/>
        </w:rPr>
        <w:t>3.2.4  专家评审</w:t>
      </w:r>
    </w:p>
    <w:p>
      <w:pPr>
        <w:spacing w:before="156" w:beforeLines="50" w:after="156" w:afterLines="50" w:line="500" w:lineRule="exact"/>
        <w:rPr>
          <w:rFonts w:hint="eastAsia" w:ascii="宋体" w:hAnsi="宋体" w:eastAsia="宋体" w:cs="Times New Roman"/>
          <w:b/>
          <w:sz w:val="24"/>
          <w:highlight w:val="none"/>
        </w:rPr>
      </w:pPr>
      <w:r>
        <w:rPr>
          <w:rFonts w:hint="eastAsia" w:ascii="宋体" w:hAnsi="宋体" w:eastAsia="宋体" w:cs="Times New Roman"/>
          <w:b/>
          <w:sz w:val="24"/>
          <w:highlight w:val="none"/>
        </w:rPr>
        <w:t>3.2.5  标准报批</w:t>
      </w:r>
    </w:p>
    <w:p>
      <w:pPr>
        <w:pStyle w:val="8"/>
        <w:jc w:val="left"/>
        <w:rPr>
          <w:rFonts w:hint="eastAsia" w:ascii="宋体" w:hAnsi="宋体" w:eastAsia="宋体"/>
          <w:b/>
          <w:sz w:val="24"/>
          <w:szCs w:val="24"/>
          <w:highlight w:val="none"/>
        </w:rPr>
      </w:pPr>
      <w:r>
        <w:rPr>
          <w:rFonts w:hint="eastAsia" w:ascii="宋体" w:hAnsi="宋体" w:eastAsia="宋体"/>
          <w:b/>
          <w:sz w:val="24"/>
          <w:szCs w:val="24"/>
          <w:highlight w:val="none"/>
        </w:rPr>
        <w:t>4  标准编制原则、主要内容及确定依据</w:t>
      </w:r>
    </w:p>
    <w:p>
      <w:pPr>
        <w:pStyle w:val="8"/>
        <w:jc w:val="left"/>
        <w:rPr>
          <w:rFonts w:hint="eastAsia" w:ascii="宋体" w:hAnsi="宋体" w:eastAsia="宋体"/>
          <w:b/>
          <w:sz w:val="24"/>
          <w:szCs w:val="24"/>
          <w:highlight w:val="none"/>
        </w:rPr>
      </w:pPr>
      <w:r>
        <w:rPr>
          <w:rFonts w:hint="eastAsia" w:ascii="宋体" w:hAnsi="宋体" w:eastAsia="宋体"/>
          <w:b/>
          <w:sz w:val="24"/>
          <w:szCs w:val="24"/>
          <w:highlight w:val="none"/>
        </w:rPr>
        <w:t>4.1  编制原则</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sz w:val="24"/>
          <w:highlight w:val="none"/>
        </w:rPr>
      </w:pPr>
      <w:r>
        <w:rPr>
          <w:rFonts w:hint="eastAsia" w:ascii="宋体" w:hAnsi="宋体"/>
          <w:sz w:val="24"/>
          <w:highlight w:val="none"/>
        </w:rPr>
        <w:t>按照《标准化工作导则第1部分：标准的结构和编写》（GB/T 1.1-2020）的规范和要求撰写。标准编制遵循“统一性、协调性、适用性、一致性、规范性”的原则和“合规性、必要性、先进性、经济性、可操作性”的五性并举原则，主</w:t>
      </w:r>
      <w:r>
        <w:rPr>
          <w:rFonts w:hint="eastAsia" w:ascii="宋体" w:hAnsi="宋体" w:eastAsia="宋体" w:cs="宋体"/>
          <w:sz w:val="24"/>
          <w:highlight w:val="none"/>
        </w:rPr>
        <w:t>要以</w:t>
      </w:r>
      <w:r>
        <w:rPr>
          <w:rFonts w:hint="eastAsia" w:ascii="宋体" w:hAnsi="宋体" w:eastAsia="宋体" w:cs="宋体"/>
          <w:sz w:val="24"/>
          <w:highlight w:val="none"/>
          <w:lang w:eastAsia="zh-CN"/>
        </w:rPr>
        <w:t>国家</w:t>
      </w:r>
      <w:r>
        <w:rPr>
          <w:rFonts w:hint="eastAsia" w:ascii="宋体" w:hAnsi="宋体" w:eastAsia="宋体" w:cs="宋体"/>
          <w:sz w:val="24"/>
          <w:highlight w:val="none"/>
        </w:rPr>
        <w:t>标准GB/T 12105-2017《电子琴通用技术条件》</w:t>
      </w:r>
      <w:r>
        <w:rPr>
          <w:rFonts w:hint="eastAsia" w:ascii="宋体" w:hAnsi="宋体" w:eastAsia="宋体" w:cs="宋体"/>
          <w:sz w:val="24"/>
          <w:highlight w:val="none"/>
          <w:lang w:val="en-US" w:eastAsia="zh-CN"/>
        </w:rPr>
        <w:t>和行业标准</w:t>
      </w:r>
      <w:r>
        <w:rPr>
          <w:rFonts w:hint="eastAsia" w:ascii="宋体" w:hAnsi="宋体" w:eastAsia="宋体" w:cs="宋体"/>
          <w:sz w:val="24"/>
          <w:highlight w:val="none"/>
        </w:rPr>
        <w:t>QB/T 1477-2012《电子钢琴》为基础，建</w:t>
      </w:r>
      <w:r>
        <w:rPr>
          <w:rFonts w:hint="eastAsia" w:ascii="宋体" w:hAnsi="宋体"/>
          <w:sz w:val="24"/>
          <w:highlight w:val="none"/>
        </w:rPr>
        <w:t>立了测试方法和评价要求，为确定试验参数和具体细节提供依据。按照“浙江制造”标准的框架，在技术标准要求基础上补充了基本要求和质量承诺，编制了本标准。</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60" w:lineRule="auto"/>
        <w:ind w:firstLine="480" w:firstLineChars="200"/>
        <w:textAlignment w:val="auto"/>
        <w:rPr>
          <w:rFonts w:hint="default" w:ascii="宋体" w:hAnsi="宋体" w:eastAsia="宋体"/>
          <w:sz w:val="24"/>
          <w:highlight w:val="none"/>
        </w:rPr>
      </w:pPr>
      <w:r>
        <w:rPr>
          <w:rFonts w:hint="eastAsia" w:ascii="宋体" w:hAnsi="宋体"/>
          <w:sz w:val="24"/>
          <w:highlight w:val="none"/>
          <w:lang w:val="en-US" w:eastAsia="zh-CN"/>
        </w:rPr>
        <w:t>本标准</w:t>
      </w:r>
      <w:r>
        <w:rPr>
          <w:rFonts w:hint="eastAsia" w:ascii="宋体" w:hAnsi="宋体"/>
          <w:sz w:val="24"/>
          <w:highlight w:val="none"/>
        </w:rPr>
        <w:t>相较对标的</w:t>
      </w:r>
      <w:r>
        <w:rPr>
          <w:rFonts w:hint="eastAsia" w:ascii="宋体" w:hAnsi="宋体"/>
          <w:sz w:val="24"/>
          <w:highlight w:val="none"/>
          <w:lang w:val="en-US" w:eastAsia="zh-CN"/>
        </w:rPr>
        <w:t>行业</w:t>
      </w:r>
      <w:r>
        <w:rPr>
          <w:rFonts w:hint="eastAsia" w:ascii="宋体" w:hAnsi="宋体"/>
          <w:sz w:val="24"/>
          <w:highlight w:val="none"/>
        </w:rPr>
        <w:t>标准</w:t>
      </w:r>
      <w:r>
        <w:rPr>
          <w:rFonts w:hint="eastAsia" w:ascii="宋体" w:hAnsi="宋体" w:eastAsia="宋体" w:cs="宋体"/>
          <w:sz w:val="24"/>
          <w:highlight w:val="none"/>
        </w:rPr>
        <w:t>QB/T 1477-2012《电子钢琴》</w:t>
      </w:r>
      <w:r>
        <w:rPr>
          <w:rFonts w:hint="eastAsia" w:ascii="宋体" w:hAnsi="宋体" w:eastAsia="宋体" w:cs="宋体"/>
          <w:sz w:val="24"/>
          <w:highlight w:val="none"/>
          <w:lang w:val="en-US" w:eastAsia="zh-CN"/>
        </w:rPr>
        <w:t>进行了变动，技术要求部分分为使用环境、声学品质、演奏性能、电声性能、复音数、无线MIDI发送延迟、安全性能、电源适应性、外观和结构、环境试验、有害物质限量和能耗等。</w:t>
      </w:r>
    </w:p>
    <w:p>
      <w:pPr>
        <w:pStyle w:val="8"/>
        <w:jc w:val="left"/>
        <w:rPr>
          <w:rFonts w:hint="eastAsia" w:ascii="宋体" w:hAnsi="宋体" w:eastAsia="宋体"/>
          <w:b/>
          <w:sz w:val="24"/>
          <w:szCs w:val="24"/>
          <w:highlight w:val="none"/>
        </w:rPr>
      </w:pPr>
      <w:r>
        <w:rPr>
          <w:rFonts w:hint="eastAsia" w:ascii="宋体" w:hAnsi="宋体" w:eastAsia="宋体"/>
          <w:b/>
          <w:sz w:val="24"/>
          <w:szCs w:val="24"/>
          <w:highlight w:val="none"/>
        </w:rPr>
        <w:t>4.2  主要内容</w:t>
      </w:r>
    </w:p>
    <w:p>
      <w:pPr>
        <w:spacing w:line="500" w:lineRule="exact"/>
        <w:ind w:firstLine="480" w:firstLineChars="200"/>
        <w:rPr>
          <w:rFonts w:hint="eastAsia" w:ascii="宋体" w:hAnsi="宋体"/>
          <w:sz w:val="24"/>
          <w:highlight w:val="none"/>
        </w:rPr>
      </w:pPr>
      <w:r>
        <w:rPr>
          <w:rFonts w:hint="eastAsia" w:ascii="宋体" w:hAnsi="宋体"/>
          <w:sz w:val="24"/>
          <w:highlight w:val="none"/>
        </w:rPr>
        <w:t>标准主要内容包括：</w:t>
      </w:r>
      <w:r>
        <w:rPr>
          <w:rFonts w:hint="eastAsia" w:ascii="宋体" w:hAnsi="宋体"/>
          <w:sz w:val="24"/>
          <w:highlight w:val="none"/>
          <w:lang w:val="en-US" w:eastAsia="zh-CN"/>
        </w:rPr>
        <w:t>电子钢琴</w:t>
      </w:r>
      <w:r>
        <w:rPr>
          <w:rFonts w:hint="eastAsia" w:ascii="宋体" w:hAnsi="宋体"/>
          <w:sz w:val="24"/>
          <w:highlight w:val="none"/>
        </w:rPr>
        <w:t>的范围、</w:t>
      </w:r>
      <w:r>
        <w:rPr>
          <w:rFonts w:hint="eastAsia" w:ascii="宋体" w:hAnsi="宋体"/>
          <w:sz w:val="24"/>
          <w:highlight w:val="none"/>
          <w:lang w:val="en-US" w:eastAsia="zh-CN"/>
        </w:rPr>
        <w:t>术语和定义、分类、</w:t>
      </w:r>
      <w:r>
        <w:rPr>
          <w:rFonts w:ascii="宋体" w:hAnsi="宋体"/>
          <w:sz w:val="24"/>
          <w:highlight w:val="none"/>
        </w:rPr>
        <w:t>基本要求、技术要求、</w:t>
      </w:r>
      <w:r>
        <w:rPr>
          <w:rFonts w:hint="eastAsia" w:ascii="宋体" w:hAnsi="宋体"/>
          <w:sz w:val="24"/>
          <w:highlight w:val="none"/>
          <w:lang w:val="en-US" w:eastAsia="zh-CN"/>
        </w:rPr>
        <w:t>废弃物品的回收利用、测试</w:t>
      </w:r>
      <w:r>
        <w:rPr>
          <w:rFonts w:ascii="宋体" w:hAnsi="宋体"/>
          <w:sz w:val="24"/>
          <w:highlight w:val="none"/>
        </w:rPr>
        <w:t>方法、检验规则</w:t>
      </w:r>
      <w:r>
        <w:rPr>
          <w:rFonts w:hint="eastAsia" w:ascii="宋体" w:hAnsi="宋体"/>
          <w:sz w:val="24"/>
          <w:highlight w:val="none"/>
        </w:rPr>
        <w:t>、</w:t>
      </w:r>
      <w:r>
        <w:rPr>
          <w:rFonts w:ascii="宋体" w:hAnsi="宋体"/>
          <w:sz w:val="24"/>
          <w:highlight w:val="none"/>
        </w:rPr>
        <w:t>标志、包装、运输和贮存以及质量承诺</w:t>
      </w:r>
      <w:r>
        <w:rPr>
          <w:rFonts w:hint="eastAsia" w:ascii="宋体" w:hAnsi="宋体"/>
          <w:sz w:val="24"/>
          <w:highlight w:val="none"/>
          <w:lang w:val="en-US" w:eastAsia="zh-CN"/>
        </w:rPr>
        <w:t>等</w:t>
      </w:r>
      <w:r>
        <w:rPr>
          <w:rFonts w:hint="eastAsia" w:ascii="宋体" w:hAnsi="宋体"/>
          <w:sz w:val="24"/>
          <w:highlight w:val="none"/>
        </w:rPr>
        <w:t>几个方面对标准进行编制。其中基本要求涵盖了</w:t>
      </w:r>
      <w:r>
        <w:rPr>
          <w:rFonts w:hint="eastAsia" w:ascii="宋体" w:hAnsi="宋体"/>
          <w:sz w:val="24"/>
          <w:highlight w:val="none"/>
          <w:lang w:val="en-US" w:eastAsia="zh-CN"/>
        </w:rPr>
        <w:t>研发设计</w:t>
      </w:r>
      <w:r>
        <w:rPr>
          <w:rFonts w:hint="eastAsia" w:ascii="宋体" w:hAnsi="宋体"/>
          <w:sz w:val="24"/>
          <w:highlight w:val="none"/>
        </w:rPr>
        <w:t>、原材料、工艺装备、检测能力四方面；技术要求包括对</w:t>
      </w:r>
      <w:r>
        <w:rPr>
          <w:rFonts w:hint="eastAsia" w:ascii="宋体" w:hAnsi="宋体"/>
          <w:sz w:val="24"/>
          <w:highlight w:val="none"/>
          <w:lang w:val="en-US" w:eastAsia="zh-CN"/>
        </w:rPr>
        <w:t>使用环境、声学品质、演奏性能、电声性能、复音数、</w:t>
      </w:r>
      <w:r>
        <w:rPr>
          <w:rFonts w:hint="eastAsia" w:ascii="宋体" w:hAnsi="宋体"/>
          <w:sz w:val="24"/>
          <w:highlight w:val="none"/>
        </w:rPr>
        <w:t>无线MIDI发送延迟</w:t>
      </w:r>
      <w:r>
        <w:rPr>
          <w:rFonts w:hint="eastAsia" w:ascii="宋体" w:hAnsi="宋体"/>
          <w:sz w:val="24"/>
          <w:highlight w:val="none"/>
          <w:lang w:eastAsia="zh-CN"/>
        </w:rPr>
        <w:t>、</w:t>
      </w:r>
      <w:r>
        <w:rPr>
          <w:rFonts w:hint="eastAsia" w:ascii="宋体" w:hAnsi="宋体"/>
          <w:sz w:val="24"/>
          <w:highlight w:val="none"/>
          <w:lang w:val="en-US" w:eastAsia="zh-CN"/>
        </w:rPr>
        <w:t>安全性能、电源适应性、外观结构、环境试验、有害物质限量、能耗</w:t>
      </w:r>
      <w:r>
        <w:rPr>
          <w:rFonts w:hint="eastAsia" w:ascii="宋体" w:hAnsi="宋体"/>
          <w:sz w:val="24"/>
          <w:highlight w:val="none"/>
        </w:rPr>
        <w:t>的要求。</w:t>
      </w:r>
    </w:p>
    <w:p>
      <w:pPr>
        <w:pStyle w:val="8"/>
        <w:jc w:val="left"/>
        <w:rPr>
          <w:rFonts w:hint="eastAsia" w:ascii="宋体" w:hAnsi="宋体" w:eastAsia="宋体"/>
          <w:b/>
          <w:sz w:val="24"/>
        </w:rPr>
      </w:pPr>
      <w:r>
        <w:rPr>
          <w:rFonts w:hint="eastAsia" w:ascii="宋体" w:hAnsi="宋体" w:eastAsia="宋体"/>
          <w:b/>
          <w:sz w:val="24"/>
          <w:szCs w:val="24"/>
        </w:rPr>
        <w:t>4.3  主要内容确定依据</w:t>
      </w:r>
    </w:p>
    <w:p>
      <w:pPr>
        <w:pStyle w:val="8"/>
        <w:spacing w:after="156" w:afterLines="50"/>
        <w:jc w:val="left"/>
        <w:rPr>
          <w:rFonts w:hint="eastAsia" w:ascii="宋体" w:hAnsi="宋体" w:eastAsia="宋体"/>
          <w:b/>
          <w:sz w:val="24"/>
          <w:szCs w:val="24"/>
        </w:rPr>
      </w:pPr>
      <w:r>
        <w:rPr>
          <w:rFonts w:hint="eastAsia" w:ascii="宋体" w:hAnsi="宋体" w:eastAsia="宋体"/>
          <w:b/>
          <w:sz w:val="24"/>
          <w:szCs w:val="24"/>
        </w:rPr>
        <w:t>4.3.1  基本要求</w:t>
      </w:r>
    </w:p>
    <w:p>
      <w:pPr>
        <w:spacing w:line="500" w:lineRule="exact"/>
        <w:ind w:firstLine="480" w:firstLineChars="200"/>
        <w:rPr>
          <w:rFonts w:hint="eastAsia" w:ascii="宋体" w:hAnsi="宋体"/>
          <w:sz w:val="24"/>
        </w:rPr>
      </w:pPr>
      <w:r>
        <w:rPr>
          <w:rFonts w:hint="eastAsia" w:ascii="宋体" w:hAnsi="宋体"/>
          <w:sz w:val="24"/>
        </w:rPr>
        <w:t>主要以标准起草工作组对</w:t>
      </w:r>
      <w:r>
        <w:rPr>
          <w:rFonts w:hint="eastAsia" w:ascii="宋体" w:hAnsi="宋体"/>
          <w:sz w:val="24"/>
          <w:lang w:val="en-US" w:eastAsia="zh-CN"/>
        </w:rPr>
        <w:t>电子钢琴</w:t>
      </w:r>
      <w:r>
        <w:rPr>
          <w:rFonts w:hint="eastAsia" w:ascii="宋体" w:hAnsi="宋体"/>
          <w:sz w:val="24"/>
        </w:rPr>
        <w:t>国内外生产企业调研结果为基础，按照“浙江制造”标准制订框架要求，增加了设计研发、原材料、工艺设备、检测能力等内容。</w:t>
      </w:r>
    </w:p>
    <w:p>
      <w:pPr>
        <w:pStyle w:val="8"/>
        <w:spacing w:after="156" w:afterLines="50"/>
        <w:jc w:val="left"/>
        <w:rPr>
          <w:rFonts w:hint="eastAsia" w:ascii="宋体" w:hAnsi="宋体" w:eastAsia="宋体"/>
          <w:b/>
          <w:sz w:val="24"/>
          <w:szCs w:val="24"/>
        </w:rPr>
      </w:pPr>
      <w:r>
        <w:rPr>
          <w:rFonts w:hint="eastAsia" w:ascii="宋体" w:hAnsi="宋体" w:eastAsia="宋体"/>
          <w:b/>
          <w:sz w:val="24"/>
          <w:szCs w:val="24"/>
        </w:rPr>
        <w:t>4.3.2  技术要求</w:t>
      </w:r>
    </w:p>
    <w:p>
      <w:pPr>
        <w:spacing w:line="500" w:lineRule="exact"/>
        <w:ind w:firstLine="480" w:firstLineChars="200"/>
        <w:rPr>
          <w:rFonts w:hint="eastAsia" w:ascii="宋体" w:hAnsi="宋体" w:eastAsia="宋体" w:cs="宋体"/>
          <w:sz w:val="24"/>
        </w:rPr>
      </w:pPr>
      <w:r>
        <w:rPr>
          <w:rFonts w:hint="eastAsia" w:ascii="宋体" w:hAnsi="宋体" w:eastAsia="宋体" w:cs="Times New Roman"/>
          <w:sz w:val="24"/>
        </w:rPr>
        <w:t>主要</w:t>
      </w:r>
      <w:r>
        <w:rPr>
          <w:rFonts w:hint="eastAsia" w:ascii="宋体" w:hAnsi="宋体" w:eastAsia="宋体" w:cs="Times New Roman"/>
          <w:sz w:val="24"/>
          <w:lang w:eastAsia="zh-CN"/>
        </w:rPr>
        <w:t>以</w:t>
      </w:r>
      <w:r>
        <w:rPr>
          <w:rFonts w:hint="eastAsia" w:ascii="宋体" w:hAnsi="宋体" w:eastAsia="宋体" w:cs="Times New Roman"/>
          <w:sz w:val="24"/>
          <w:lang w:val="en-US" w:eastAsia="zh-CN"/>
        </w:rPr>
        <w:t>行业</w:t>
      </w:r>
      <w:r>
        <w:rPr>
          <w:rFonts w:hint="eastAsia" w:ascii="宋体" w:hAnsi="宋体" w:eastAsia="宋体" w:cs="Times New Roman"/>
          <w:sz w:val="24"/>
          <w:lang w:eastAsia="zh-CN"/>
        </w:rPr>
        <w:t>标准</w:t>
      </w:r>
      <w:r>
        <w:rPr>
          <w:rFonts w:hint="eastAsia" w:ascii="宋体" w:hAnsi="宋体" w:eastAsia="宋体" w:cs="宋体"/>
          <w:sz w:val="24"/>
        </w:rPr>
        <w:t>QB/T 1477-2012《电子钢琴》</w:t>
      </w:r>
      <w:r>
        <w:rPr>
          <w:rFonts w:hint="eastAsia" w:ascii="宋体" w:hAnsi="宋体" w:eastAsia="宋体" w:cs="Times New Roman"/>
          <w:sz w:val="24"/>
        </w:rPr>
        <w:t>为基础，规定了产品核心技术指</w:t>
      </w:r>
      <w:r>
        <w:rPr>
          <w:rFonts w:hint="eastAsia" w:ascii="宋体" w:hAnsi="宋体" w:eastAsia="宋体" w:cs="宋体"/>
          <w:sz w:val="24"/>
        </w:rPr>
        <w:t>标的要求，先进性主要体现为：</w:t>
      </w:r>
    </w:p>
    <w:p>
      <w:pPr>
        <w:numPr>
          <w:ilvl w:val="0"/>
          <w:numId w:val="3"/>
        </w:numPr>
        <w:spacing w:line="500" w:lineRule="exact"/>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提升了平整度，</w:t>
      </w:r>
      <w:r>
        <w:rPr>
          <w:rFonts w:hint="eastAsia" w:ascii="宋体" w:hAnsi="宋体" w:eastAsia="宋体" w:cs="宋体"/>
          <w:kern w:val="0"/>
          <w:sz w:val="24"/>
          <w:szCs w:val="24"/>
          <w:highlight w:val="none"/>
        </w:rPr>
        <w:t>白键表面高度差-全键盘表面最大高度差≤1.0</w:t>
      </w:r>
      <w:r>
        <w:rPr>
          <w:rFonts w:hint="eastAsia" w:ascii="宋体" w:hAnsi="宋体" w:eastAsia="宋体" w:cs="宋体"/>
          <w:kern w:val="0"/>
          <w:sz w:val="24"/>
          <w:szCs w:val="24"/>
          <w:highlight w:val="none"/>
          <w:lang w:val="en-US" w:eastAsia="zh-CN"/>
        </w:rPr>
        <w:t>mm</w:t>
      </w:r>
      <w:r>
        <w:rPr>
          <w:rFonts w:hint="eastAsia" w:ascii="宋体" w:hAnsi="宋体" w:eastAsia="宋体" w:cs="宋体"/>
          <w:kern w:val="0"/>
          <w:sz w:val="24"/>
          <w:szCs w:val="24"/>
          <w:highlight w:val="none"/>
          <w:lang w:eastAsia="zh-CN"/>
        </w:rPr>
        <w:t>。</w:t>
      </w:r>
    </w:p>
    <w:p>
      <w:pPr>
        <w:numPr>
          <w:ilvl w:val="0"/>
          <w:numId w:val="3"/>
        </w:numPr>
        <w:spacing w:line="500" w:lineRule="exact"/>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提升了稳定性，</w:t>
      </w:r>
      <w:r>
        <w:rPr>
          <w:rFonts w:hint="eastAsia" w:ascii="宋体" w:hAnsi="宋体" w:eastAsia="宋体" w:cs="宋体"/>
          <w:kern w:val="0"/>
          <w:sz w:val="24"/>
          <w:szCs w:val="24"/>
          <w:highlight w:val="none"/>
        </w:rPr>
        <w:t>音准稳定性</w:t>
      </w:r>
      <w:r>
        <w:rPr>
          <w:rFonts w:hint="eastAsia" w:ascii="宋体" w:hAnsi="宋体" w:eastAsia="宋体" w:cs="宋体"/>
          <w:sz w:val="24"/>
          <w:highlight w:val="none"/>
          <w:lang w:val="en-US" w:eastAsia="zh-CN"/>
        </w:rPr>
        <w:t>≤1音分。</w:t>
      </w:r>
    </w:p>
    <w:p>
      <w:pPr>
        <w:numPr>
          <w:ilvl w:val="0"/>
          <w:numId w:val="3"/>
        </w:numPr>
        <w:spacing w:line="500" w:lineRule="exact"/>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szCs w:val="24"/>
          <w:highlight w:val="none"/>
          <w:lang w:val="en-US" w:eastAsia="zh-CN"/>
        </w:rPr>
        <w:t>提升了弹奏手感，琴键下降负荷表现为0.7</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1.05N；</w:t>
      </w:r>
      <w:r>
        <w:rPr>
          <w:rFonts w:hint="eastAsia" w:ascii="宋体" w:hAnsi="宋体" w:eastAsia="宋体" w:cs="宋体"/>
          <w:kern w:val="0"/>
          <w:sz w:val="24"/>
          <w:szCs w:val="24"/>
          <w:highlight w:val="none"/>
        </w:rPr>
        <w:t>同一台琴上琴键下降负荷</w:t>
      </w:r>
      <w:r>
        <w:rPr>
          <w:rFonts w:hint="eastAsia" w:ascii="宋体" w:hAnsi="宋体" w:eastAsia="宋体" w:cs="宋体"/>
          <w:kern w:val="0"/>
          <w:sz w:val="24"/>
          <w:szCs w:val="24"/>
          <w:highlight w:val="none"/>
          <w:lang w:val="en-US" w:eastAsia="zh-CN"/>
        </w:rPr>
        <w:t>为0.2N。；相邻两键偏差琴键下降负荷不超过0.1N；</w:t>
      </w:r>
      <w:r>
        <w:rPr>
          <w:rFonts w:hint="eastAsia" w:ascii="宋体" w:hAnsi="宋体" w:eastAsia="宋体" w:cs="宋体"/>
          <w:sz w:val="24"/>
          <w:highlight w:val="none"/>
          <w:lang w:val="en-US" w:eastAsia="zh-CN"/>
        </w:rPr>
        <w:t>单键轻弹与重弹声压级变化≥35dB。</w:t>
      </w:r>
    </w:p>
    <w:p>
      <w:pPr>
        <w:spacing w:line="500" w:lineRule="exact"/>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4）增加释放感、三触点等</w:t>
      </w:r>
      <w:bookmarkStart w:id="0" w:name="_GoBack"/>
      <w:bookmarkEnd w:id="0"/>
      <w:r>
        <w:rPr>
          <w:rFonts w:hint="eastAsia" w:ascii="宋体" w:hAnsi="宋体" w:eastAsia="宋体" w:cs="宋体"/>
          <w:sz w:val="24"/>
          <w:highlight w:val="none"/>
          <w:lang w:val="en-US" w:eastAsia="zh-CN"/>
        </w:rPr>
        <w:t>技术要求。</w:t>
      </w:r>
    </w:p>
    <w:p>
      <w:pPr>
        <w:pStyle w:val="8"/>
        <w:spacing w:after="156" w:afterLines="50"/>
        <w:jc w:val="left"/>
        <w:rPr>
          <w:rFonts w:hint="eastAsia" w:ascii="宋体" w:hAnsi="宋体" w:eastAsia="宋体" w:cs="宋体"/>
          <w:b/>
          <w:sz w:val="24"/>
          <w:szCs w:val="24"/>
        </w:rPr>
      </w:pPr>
      <w:r>
        <w:rPr>
          <w:rFonts w:hint="eastAsia" w:ascii="宋体" w:hAnsi="宋体" w:eastAsia="宋体" w:cs="宋体"/>
          <w:b/>
          <w:sz w:val="24"/>
          <w:szCs w:val="24"/>
        </w:rPr>
        <w:t>4.3.3  试验方法</w:t>
      </w:r>
    </w:p>
    <w:p>
      <w:pPr>
        <w:spacing w:line="50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相关检验项目均按照对应行业标准以及国家标准要求进行确定。</w:t>
      </w:r>
    </w:p>
    <w:p>
      <w:pPr>
        <w:pStyle w:val="8"/>
        <w:spacing w:after="156" w:afterLines="50"/>
        <w:jc w:val="left"/>
        <w:rPr>
          <w:rFonts w:hint="eastAsia" w:ascii="宋体" w:hAnsi="宋体" w:eastAsia="宋体" w:cs="Times New Roman"/>
          <w:b/>
          <w:sz w:val="24"/>
          <w:szCs w:val="24"/>
        </w:rPr>
      </w:pPr>
      <w:r>
        <w:rPr>
          <w:rFonts w:hint="eastAsia" w:ascii="宋体" w:hAnsi="宋体" w:eastAsia="宋体" w:cs="Times New Roman"/>
          <w:b/>
          <w:sz w:val="24"/>
          <w:szCs w:val="24"/>
        </w:rPr>
        <w:t>4.3.4  检验规则</w:t>
      </w:r>
    </w:p>
    <w:p>
      <w:pPr>
        <w:spacing w:line="50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标准规定了出厂检验和型式检验。</w:t>
      </w:r>
    </w:p>
    <w:p>
      <w:pPr>
        <w:pStyle w:val="8"/>
        <w:spacing w:after="156" w:afterLines="50"/>
        <w:jc w:val="left"/>
        <w:rPr>
          <w:rFonts w:hint="eastAsia" w:ascii="宋体" w:hAnsi="宋体" w:eastAsia="宋体" w:cs="Times New Roman"/>
          <w:b/>
          <w:sz w:val="24"/>
          <w:szCs w:val="24"/>
        </w:rPr>
      </w:pPr>
      <w:r>
        <w:rPr>
          <w:rFonts w:hint="eastAsia" w:ascii="宋体" w:hAnsi="宋体" w:eastAsia="宋体" w:cs="Times New Roman"/>
          <w:b/>
          <w:sz w:val="24"/>
          <w:szCs w:val="24"/>
        </w:rPr>
        <w:t>4.3.5  标志、包装、运输与贮存</w:t>
      </w:r>
    </w:p>
    <w:p>
      <w:pPr>
        <w:spacing w:line="50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结合标准规定了标志、包装、运输与贮存的要求。</w:t>
      </w:r>
    </w:p>
    <w:p>
      <w:pPr>
        <w:pStyle w:val="8"/>
        <w:spacing w:after="156" w:afterLines="50"/>
        <w:jc w:val="left"/>
        <w:rPr>
          <w:rFonts w:hint="eastAsia" w:ascii="宋体" w:hAnsi="宋体" w:eastAsia="宋体" w:cs="Times New Roman"/>
          <w:b/>
          <w:sz w:val="24"/>
          <w:szCs w:val="24"/>
        </w:rPr>
      </w:pPr>
      <w:r>
        <w:rPr>
          <w:rFonts w:hint="eastAsia" w:ascii="宋体" w:hAnsi="宋体" w:eastAsia="宋体" w:cs="Times New Roman"/>
          <w:b/>
          <w:sz w:val="24"/>
          <w:szCs w:val="24"/>
        </w:rPr>
        <w:t>4.3.6  质量承诺</w:t>
      </w:r>
    </w:p>
    <w:p>
      <w:pPr>
        <w:spacing w:line="50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主要以企业实际及工作组调研情况为基础，按照“浙江制造”标准制订框架要求，增加了质量承诺的内容。</w:t>
      </w:r>
    </w:p>
    <w:p>
      <w:pPr>
        <w:spacing w:line="50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1）若在产品质保期内因产品质量出现的问题，生产企业应免费更换或退回。</w:t>
      </w:r>
    </w:p>
    <w:p>
      <w:pPr>
        <w:spacing w:line="500" w:lineRule="exact"/>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2）当客户有诉求时，可以在24 h内给予响应，72 h内提供解决方案。</w:t>
      </w:r>
    </w:p>
    <w:p>
      <w:pPr>
        <w:pStyle w:val="8"/>
        <w:jc w:val="left"/>
        <w:rPr>
          <w:rFonts w:hint="eastAsia" w:ascii="宋体" w:hAnsi="宋体" w:eastAsia="宋体"/>
          <w:b/>
          <w:sz w:val="24"/>
          <w:szCs w:val="24"/>
        </w:rPr>
      </w:pPr>
      <w:r>
        <w:rPr>
          <w:rFonts w:hint="eastAsia" w:ascii="宋体" w:hAnsi="宋体" w:eastAsia="宋体"/>
          <w:b/>
          <w:sz w:val="24"/>
          <w:szCs w:val="24"/>
        </w:rPr>
        <w:t>5  标准先进性体现</w:t>
      </w:r>
    </w:p>
    <w:p>
      <w:pPr>
        <w:pStyle w:val="8"/>
        <w:spacing w:after="156" w:afterLines="50" w:line="360" w:lineRule="auto"/>
        <w:jc w:val="left"/>
        <w:rPr>
          <w:rFonts w:hint="eastAsia" w:ascii="宋体" w:hAnsi="宋体" w:eastAsia="宋体"/>
          <w:b/>
          <w:sz w:val="24"/>
          <w:szCs w:val="24"/>
          <w:highlight w:val="yellow"/>
        </w:rPr>
      </w:pPr>
      <w:r>
        <w:rPr>
          <w:rFonts w:hint="eastAsia" w:ascii="宋体" w:hAnsi="宋体" w:eastAsia="宋体"/>
          <w:b/>
          <w:sz w:val="24"/>
          <w:szCs w:val="24"/>
        </w:rPr>
        <w:t xml:space="preserve">5.1  </w:t>
      </w:r>
      <w:r>
        <w:rPr>
          <w:rFonts w:hint="eastAsia" w:ascii="宋体" w:hAnsi="宋体" w:eastAsia="宋体"/>
          <w:b/>
          <w:sz w:val="24"/>
          <w:szCs w:val="24"/>
          <w:highlight w:val="none"/>
        </w:rPr>
        <w:t>型式试验内规定的所有指标对比分析情况。（与同类国际、国家、行业标准、企业标准对比，国内外关键指标对比分析或与测试的国外样品、样机的相关数据对比情况。）</w:t>
      </w:r>
    </w:p>
    <w:p>
      <w:pPr>
        <w:spacing w:line="500" w:lineRule="exact"/>
        <w:ind w:firstLine="480"/>
        <w:rPr>
          <w:rFonts w:hint="eastAsia" w:ascii="宋体" w:hAnsi="宋体"/>
          <w:sz w:val="24"/>
        </w:rPr>
      </w:pPr>
      <w:r>
        <w:rPr>
          <w:rFonts w:hint="eastAsia" w:ascii="宋体" w:hAnsi="宋体" w:eastAsia="宋体" w:cs="仿宋"/>
          <w:sz w:val="24"/>
        </w:rPr>
        <w:t>本标准的主要技术指标设定是根据产品性能特点，参照</w:t>
      </w:r>
      <w:r>
        <w:rPr>
          <w:rFonts w:hint="eastAsia" w:ascii="宋体" w:hAnsi="宋体" w:eastAsia="宋体" w:cs="宋体"/>
          <w:sz w:val="24"/>
        </w:rPr>
        <w:t>GB/T 12105-2017《电子琴通用技术条件》</w:t>
      </w:r>
      <w:r>
        <w:rPr>
          <w:rFonts w:hint="eastAsia" w:ascii="宋体" w:hAnsi="宋体" w:eastAsia="宋体" w:cs="仿宋"/>
          <w:sz w:val="24"/>
        </w:rPr>
        <w:t>, 特别是考虑浙江制造标准要求和用户使用情况反馈而制定。本标准做到了对</w:t>
      </w:r>
      <w:r>
        <w:rPr>
          <w:rFonts w:hint="eastAsia" w:ascii="宋体" w:hAnsi="宋体" w:eastAsia="宋体" w:cs="仿宋"/>
          <w:sz w:val="24"/>
          <w:lang w:eastAsia="zh-CN"/>
        </w:rPr>
        <w:t>国家</w:t>
      </w:r>
      <w:r>
        <w:rPr>
          <w:rFonts w:hint="eastAsia" w:ascii="宋体" w:hAnsi="宋体" w:eastAsia="宋体" w:cs="仿宋"/>
          <w:sz w:val="24"/>
        </w:rPr>
        <w:t>标准要求的全覆盖</w:t>
      </w:r>
      <w:r>
        <w:rPr>
          <w:rFonts w:hint="eastAsia" w:ascii="宋体" w:hAnsi="宋体" w:eastAsia="宋体" w:cs="仿宋"/>
          <w:sz w:val="24"/>
          <w:lang w:eastAsia="zh-CN"/>
        </w:rPr>
        <w:t>，并</w:t>
      </w:r>
      <w:r>
        <w:rPr>
          <w:rFonts w:hint="eastAsia" w:ascii="宋体" w:hAnsi="宋体" w:eastAsia="宋体" w:cs="仿宋"/>
          <w:sz w:val="24"/>
        </w:rPr>
        <w:t>提高了</w:t>
      </w:r>
      <w:r>
        <w:rPr>
          <w:rFonts w:hint="eastAsia" w:ascii="宋体" w:hAnsi="宋体" w:eastAsia="宋体" w:cs="仿宋"/>
          <w:sz w:val="24"/>
          <w:lang w:val="en-US" w:eastAsia="zh-CN"/>
        </w:rPr>
        <w:t>电子钢琴</w:t>
      </w:r>
      <w:r>
        <w:rPr>
          <w:rFonts w:hint="eastAsia" w:ascii="宋体" w:hAnsi="宋体" w:eastAsia="宋体" w:cs="仿宋"/>
          <w:sz w:val="24"/>
        </w:rPr>
        <w:t>的</w:t>
      </w:r>
      <w:r>
        <w:rPr>
          <w:rFonts w:hint="eastAsia" w:ascii="宋体" w:hAnsi="宋体" w:eastAsia="宋体" w:cs="仿宋"/>
          <w:sz w:val="24"/>
          <w:lang w:val="en-US" w:eastAsia="zh-CN"/>
        </w:rPr>
        <w:t>表面平整度、音准稳定性、</w:t>
      </w:r>
      <w:r>
        <w:rPr>
          <w:rFonts w:hint="eastAsia" w:ascii="宋体" w:hAnsi="宋体" w:eastAsia="宋体" w:cs="宋体"/>
          <w:sz w:val="24"/>
          <w:szCs w:val="24"/>
          <w:lang w:val="en-US" w:eastAsia="zh-CN"/>
        </w:rPr>
        <w:t>琴键下降负荷</w:t>
      </w:r>
      <w:r>
        <w:rPr>
          <w:rFonts w:hint="eastAsia" w:ascii="宋体" w:hAnsi="宋体" w:eastAsia="宋体" w:cs="仿宋"/>
          <w:sz w:val="24"/>
          <w:lang w:val="en-US" w:eastAsia="zh-CN"/>
        </w:rPr>
        <w:t>与</w:t>
      </w:r>
      <w:r>
        <w:rPr>
          <w:rFonts w:hint="eastAsia" w:ascii="宋体" w:hAnsi="宋体" w:eastAsia="宋体" w:cs="宋体"/>
          <w:kern w:val="0"/>
          <w:sz w:val="24"/>
          <w:szCs w:val="24"/>
          <w:lang w:val="en-US" w:eastAsia="zh-CN"/>
        </w:rPr>
        <w:t>琴键力度；</w:t>
      </w:r>
      <w:r>
        <w:rPr>
          <w:rFonts w:hint="eastAsia" w:ascii="宋体" w:hAnsi="宋体" w:eastAsia="宋体" w:cs="仿宋"/>
          <w:sz w:val="24"/>
        </w:rPr>
        <w:t>新增</w:t>
      </w:r>
      <w:r>
        <w:rPr>
          <w:rFonts w:hint="eastAsia" w:ascii="宋体" w:hAnsi="宋体" w:eastAsia="宋体" w:cs="仿宋"/>
          <w:sz w:val="24"/>
          <w:lang w:val="en-US" w:eastAsia="zh-CN"/>
        </w:rPr>
        <w:t>释放感与三触点</w:t>
      </w:r>
      <w:r>
        <w:rPr>
          <w:rFonts w:hint="eastAsia" w:ascii="宋体" w:hAnsi="宋体" w:eastAsia="宋体" w:cs="仿宋"/>
          <w:sz w:val="24"/>
        </w:rPr>
        <w:t>等方面的技术要求</w:t>
      </w:r>
      <w:r>
        <w:rPr>
          <w:rFonts w:hint="eastAsia" w:ascii="宋体" w:hAnsi="宋体"/>
          <w:sz w:val="24"/>
        </w:rPr>
        <w:t>。</w:t>
      </w:r>
    </w:p>
    <w:p>
      <w:pPr>
        <w:spacing w:line="500" w:lineRule="exact"/>
        <w:rPr>
          <w:rFonts w:hint="eastAsia" w:ascii="宋体" w:hAnsi="宋体" w:eastAsia="宋体" w:cs="Times New Roman"/>
          <w:sz w:val="24"/>
          <w:lang w:val="en-US" w:eastAsia="zh-CN"/>
        </w:rPr>
      </w:pPr>
    </w:p>
    <w:p>
      <w:pPr>
        <w:spacing w:line="500" w:lineRule="exact"/>
        <w:rPr>
          <w:rFonts w:hint="eastAsia" w:ascii="宋体" w:hAnsi="宋体"/>
          <w:sz w:val="24"/>
          <w:highlight w:val="none"/>
        </w:rPr>
      </w:pPr>
    </w:p>
    <w:p>
      <w:pPr>
        <w:spacing w:before="156" w:beforeLines="50" w:after="156" w:afterLines="50" w:line="500" w:lineRule="exact"/>
        <w:rPr>
          <w:rFonts w:hint="eastAsia" w:ascii="宋体" w:hAnsi="宋体" w:cs="仿宋"/>
          <w:bCs/>
          <w:sz w:val="24"/>
        </w:rPr>
      </w:pPr>
    </w:p>
    <w:p>
      <w:pPr>
        <w:widowControl/>
        <w:spacing w:before="105" w:after="105" w:line="360" w:lineRule="auto"/>
        <w:ind w:firstLine="405"/>
        <w:jc w:val="left"/>
        <w:rPr>
          <w:rFonts w:hint="default" w:ascii="宋体" w:hAnsi="宋体"/>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Theme="minorEastAsia"/>
          <w:sz w:val="24"/>
          <w:lang w:val="en-US" w:eastAsia="zh-CN"/>
        </w:rPr>
      </w:pPr>
    </w:p>
    <w:p>
      <w:pPr>
        <w:numPr>
          <w:ilvl w:val="0"/>
          <w:numId w:val="0"/>
        </w:numPr>
        <w:spacing w:line="400" w:lineRule="exact"/>
        <w:rPr>
          <w:rFonts w:hint="eastAsia" w:ascii="宋体" w:hAnsi="宋体"/>
          <w:b/>
          <w:sz w:val="24"/>
        </w:rPr>
      </w:pPr>
    </w:p>
    <w:p>
      <w:pPr>
        <w:adjustRightInd w:val="0"/>
        <w:snapToGrid w:val="0"/>
        <w:spacing w:before="240" w:line="360" w:lineRule="auto"/>
        <w:ind w:firstLine="480" w:firstLineChars="200"/>
        <w:rPr>
          <w:rFonts w:hint="eastAsia" w:ascii="宋体" w:hAnsi="宋体"/>
          <w:sz w:val="24"/>
        </w:rPr>
      </w:pPr>
    </w:p>
    <w:p>
      <w:pPr>
        <w:spacing w:line="500" w:lineRule="exact"/>
        <w:rPr>
          <w:rFonts w:hint="eastAsia" w:ascii="宋体" w:hAnsi="宋体"/>
          <w:sz w:val="24"/>
        </w:rPr>
      </w:pPr>
    </w:p>
    <w:p>
      <w:pPr>
        <w:adjustRightInd w:val="0"/>
        <w:snapToGrid w:val="0"/>
        <w:spacing w:before="240" w:line="360" w:lineRule="auto"/>
        <w:ind w:firstLine="480" w:firstLineChars="200"/>
        <w:rPr>
          <w:rFonts w:hint="eastAsia" w:ascii="宋体" w:hAnsi="宋体"/>
          <w:sz w:val="24"/>
        </w:rPr>
      </w:pPr>
    </w:p>
    <w:p>
      <w:pPr>
        <w:spacing w:line="500" w:lineRule="exact"/>
        <w:rPr>
          <w:rFonts w:hint="eastAsia" w:ascii="宋体" w:hAnsi="宋体"/>
          <w:sz w:val="24"/>
        </w:rPr>
      </w:pPr>
    </w:p>
    <w:p>
      <w:pPr>
        <w:rPr>
          <w:rFonts w:hint="default" w:ascii="宋体" w:hAnsi="宋体"/>
          <w:sz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before="156" w:beforeLines="50" w:after="156" w:afterLines="50" w:line="500" w:lineRule="exact"/>
        <w:jc w:val="center"/>
        <w:rPr>
          <w:rFonts w:hint="eastAsia" w:ascii="宋体" w:hAnsi="宋体" w:cs="宋体"/>
          <w:b/>
          <w:color w:val="000000"/>
          <w:sz w:val="24"/>
        </w:rPr>
      </w:pPr>
      <w:r>
        <w:rPr>
          <w:rFonts w:hint="eastAsia" w:ascii="宋体" w:hAnsi="宋体" w:cs="宋体"/>
          <w:b/>
          <w:color w:val="000000"/>
          <w:sz w:val="24"/>
        </w:rPr>
        <w:t xml:space="preserve">表1 </w:t>
      </w:r>
      <w:r>
        <w:rPr>
          <w:rFonts w:hint="eastAsia" w:ascii="宋体" w:hAnsi="宋体" w:cs="宋体"/>
          <w:b/>
          <w:color w:val="000000"/>
          <w:sz w:val="24"/>
          <w:lang w:eastAsia="zh-CN"/>
        </w:rPr>
        <w:t>标准主要技术指标先进性</w:t>
      </w:r>
      <w:r>
        <w:rPr>
          <w:rFonts w:hint="eastAsia" w:ascii="宋体" w:hAnsi="宋体" w:cs="宋体"/>
          <w:b/>
          <w:color w:val="000000"/>
          <w:sz w:val="24"/>
        </w:rPr>
        <w:t>对比表</w:t>
      </w:r>
    </w:p>
    <w:tbl>
      <w:tblPr>
        <w:tblStyle w:val="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769"/>
        <w:gridCol w:w="1538"/>
        <w:gridCol w:w="1465"/>
        <w:gridCol w:w="1048"/>
        <w:gridCol w:w="1638"/>
        <w:gridCol w:w="2342"/>
        <w:gridCol w:w="1968"/>
        <w:gridCol w:w="25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107" w:hRule="atLeast"/>
        </w:trPr>
        <w:tc>
          <w:tcPr>
            <w:tcW w:w="769"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color w:val="auto"/>
                <w:sz w:val="19"/>
                <w:szCs w:val="19"/>
              </w:rPr>
            </w:pPr>
            <w:r>
              <w:rPr>
                <w:rFonts w:hint="eastAsia" w:ascii="宋体" w:hAnsi="宋体" w:eastAsia="宋体" w:cs="宋体"/>
                <w:b w:val="0"/>
                <w:bCs w:val="0"/>
                <w:i w:val="0"/>
                <w:iCs w:val="0"/>
                <w:caps w:val="0"/>
                <w:color w:val="auto"/>
                <w:spacing w:val="0"/>
                <w:sz w:val="19"/>
                <w:szCs w:val="19"/>
              </w:rPr>
              <w:t>序号</w:t>
            </w:r>
          </w:p>
        </w:tc>
        <w:tc>
          <w:tcPr>
            <w:tcW w:w="1538"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leftChars="0" w:right="0" w:rightChars="0"/>
              <w:jc w:val="center"/>
              <w:rPr>
                <w:rFonts w:hint="eastAsia" w:ascii="宋体" w:hAnsi="宋体" w:eastAsia="宋体" w:cs="宋体"/>
                <w:b w:val="0"/>
                <w:bCs w:val="0"/>
                <w:color w:val="auto"/>
                <w:kern w:val="0"/>
                <w:sz w:val="19"/>
                <w:szCs w:val="19"/>
                <w:lang w:val="en-US" w:eastAsia="zh-CN" w:bidi="ar-SA"/>
              </w:rPr>
            </w:pPr>
            <w:r>
              <w:rPr>
                <w:rFonts w:hint="eastAsia" w:ascii="宋体" w:hAnsi="宋体" w:eastAsia="宋体" w:cs="宋体"/>
                <w:b w:val="0"/>
                <w:bCs w:val="0"/>
                <w:i w:val="0"/>
                <w:iCs w:val="0"/>
                <w:caps w:val="0"/>
                <w:color w:val="auto"/>
                <w:spacing w:val="0"/>
                <w:sz w:val="19"/>
                <w:szCs w:val="19"/>
              </w:rPr>
              <w:t>产品主要质量特性</w:t>
            </w:r>
          </w:p>
        </w:tc>
        <w:tc>
          <w:tcPr>
            <w:tcW w:w="1465"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color w:val="auto"/>
                <w:sz w:val="19"/>
                <w:szCs w:val="19"/>
              </w:rPr>
            </w:pPr>
            <w:r>
              <w:rPr>
                <w:rFonts w:hint="eastAsia" w:ascii="宋体" w:hAnsi="宋体" w:eastAsia="宋体" w:cs="宋体"/>
                <w:b w:val="0"/>
                <w:bCs w:val="0"/>
                <w:i w:val="0"/>
                <w:iCs w:val="0"/>
                <w:caps w:val="0"/>
                <w:color w:val="auto"/>
                <w:spacing w:val="0"/>
                <w:sz w:val="19"/>
                <w:szCs w:val="19"/>
              </w:rPr>
              <w:t>指标</w:t>
            </w:r>
          </w:p>
        </w:tc>
        <w:tc>
          <w:tcPr>
            <w:tcW w:w="1048"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color w:val="auto"/>
                <w:sz w:val="19"/>
                <w:szCs w:val="19"/>
              </w:rPr>
            </w:pPr>
            <w:r>
              <w:rPr>
                <w:rFonts w:hint="eastAsia" w:ascii="仿宋_GB2312" w:hAnsi="宋体" w:eastAsia="仿宋_GB2312" w:cs="宋体"/>
                <w:kern w:val="0"/>
                <w:sz w:val="20"/>
                <w:szCs w:val="24"/>
              </w:rPr>
              <w:t>QB/T 1477-2012</w:t>
            </w:r>
          </w:p>
        </w:tc>
        <w:tc>
          <w:tcPr>
            <w:tcW w:w="1638"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国外高端产品</w:t>
            </w:r>
            <w:r>
              <w:rPr>
                <w:rFonts w:hint="eastAsia" w:ascii="宋体" w:hAnsi="宋体" w:eastAsia="宋体" w:cs="宋体"/>
                <w:kern w:val="0"/>
                <w:sz w:val="19"/>
                <w:szCs w:val="19"/>
                <w:lang w:val="en-US" w:eastAsia="zh-CN"/>
              </w:rPr>
              <w:t>检测报告</w:t>
            </w:r>
          </w:p>
        </w:tc>
        <w:tc>
          <w:tcPr>
            <w:tcW w:w="2342"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color w:val="auto"/>
                <w:sz w:val="19"/>
                <w:szCs w:val="19"/>
              </w:rPr>
            </w:pPr>
            <w:r>
              <w:rPr>
                <w:rFonts w:hint="eastAsia" w:ascii="宋体" w:hAnsi="宋体" w:eastAsia="宋体" w:cs="宋体"/>
                <w:b w:val="0"/>
                <w:bCs w:val="0"/>
                <w:i w:val="0"/>
                <w:iCs w:val="0"/>
                <w:caps w:val="0"/>
                <w:color w:val="auto"/>
                <w:spacing w:val="0"/>
                <w:sz w:val="19"/>
                <w:szCs w:val="19"/>
              </w:rPr>
              <w:t>浙江制造标准要求</w:t>
            </w:r>
          </w:p>
        </w:tc>
        <w:tc>
          <w:tcPr>
            <w:tcW w:w="1968"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color w:val="auto"/>
                <w:sz w:val="19"/>
                <w:szCs w:val="19"/>
              </w:rPr>
            </w:pPr>
            <w:r>
              <w:rPr>
                <w:rFonts w:hint="eastAsia" w:ascii="宋体" w:hAnsi="宋体" w:eastAsia="宋体" w:cs="宋体"/>
                <w:b w:val="0"/>
                <w:bCs w:val="0"/>
                <w:i w:val="0"/>
                <w:iCs w:val="0"/>
                <w:caps w:val="0"/>
                <w:color w:val="auto"/>
                <w:spacing w:val="0"/>
                <w:sz w:val="19"/>
                <w:szCs w:val="19"/>
              </w:rPr>
              <w:t>结论</w:t>
            </w:r>
          </w:p>
        </w:tc>
        <w:tc>
          <w:tcPr>
            <w:tcW w:w="2529"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color w:val="auto"/>
                <w:sz w:val="19"/>
                <w:szCs w:val="19"/>
              </w:rPr>
            </w:pPr>
            <w:r>
              <w:rPr>
                <w:rFonts w:hint="eastAsia" w:ascii="宋体" w:hAnsi="宋体" w:eastAsia="宋体" w:cs="宋体"/>
                <w:b w:val="0"/>
                <w:bCs w:val="0"/>
                <w:i w:val="0"/>
                <w:iCs w:val="0"/>
                <w:caps w:val="0"/>
                <w:color w:val="auto"/>
                <w:spacing w:val="0"/>
                <w:sz w:val="19"/>
                <w:szCs w:val="19"/>
              </w:rPr>
              <w:t>产品改进带来的好处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3" w:hRule="atLeast"/>
        </w:trPr>
        <w:tc>
          <w:tcPr>
            <w:tcW w:w="76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1</w:t>
            </w:r>
          </w:p>
        </w:tc>
        <w:tc>
          <w:tcPr>
            <w:tcW w:w="153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kern w:val="0"/>
                <w:sz w:val="19"/>
                <w:szCs w:val="19"/>
                <w:lang w:val="en-US" w:eastAsia="zh-CN" w:bidi="ar-SA"/>
              </w:rPr>
            </w:pPr>
            <w:r>
              <w:rPr>
                <w:rFonts w:hint="eastAsia" w:ascii="宋体" w:hAnsi="宋体" w:eastAsia="宋体" w:cs="宋体"/>
                <w:kern w:val="0"/>
                <w:sz w:val="19"/>
                <w:szCs w:val="19"/>
              </w:rPr>
              <w:t>平整度</w:t>
            </w:r>
          </w:p>
        </w:tc>
        <w:tc>
          <w:tcPr>
            <w:tcW w:w="1465"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白键表面高度差-全键盘表面最大高度差</w:t>
            </w:r>
          </w:p>
        </w:tc>
        <w:tc>
          <w:tcPr>
            <w:tcW w:w="104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≤2.0</w:t>
            </w:r>
          </w:p>
        </w:tc>
        <w:tc>
          <w:tcPr>
            <w:tcW w:w="163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≤1.5</w:t>
            </w:r>
          </w:p>
        </w:tc>
        <w:tc>
          <w:tcPr>
            <w:tcW w:w="2342"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≤1.0</w:t>
            </w:r>
          </w:p>
        </w:tc>
        <w:tc>
          <w:tcPr>
            <w:tcW w:w="1968"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color w:val="auto"/>
                <w:sz w:val="19"/>
                <w:szCs w:val="19"/>
                <w:lang w:val="en-US" w:eastAsia="zh-CN"/>
              </w:rPr>
            </w:pPr>
            <w:r>
              <w:rPr>
                <w:rFonts w:hint="eastAsia" w:ascii="宋体" w:hAnsi="宋体" w:eastAsia="宋体" w:cs="宋体"/>
                <w:b w:val="0"/>
                <w:bCs w:val="0"/>
                <w:i w:val="0"/>
                <w:iCs w:val="0"/>
                <w:caps w:val="0"/>
                <w:color w:val="auto"/>
                <w:spacing w:val="0"/>
                <w:sz w:val="19"/>
                <w:szCs w:val="19"/>
                <w:lang w:eastAsia="zh-CN"/>
              </w:rPr>
              <w:t>提升</w:t>
            </w:r>
          </w:p>
        </w:tc>
        <w:tc>
          <w:tcPr>
            <w:tcW w:w="252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产品更精准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3" w:hRule="atLeast"/>
        </w:trPr>
        <w:tc>
          <w:tcPr>
            <w:tcW w:w="769" w:type="dxa"/>
            <w:tcBorders>
              <w:tl2br w:val="nil"/>
              <w:tr2bl w:val="nil"/>
            </w:tcBorders>
            <w:noWrap w:val="0"/>
            <w:tcMar>
              <w:left w:w="105" w:type="dxa"/>
              <w:right w:w="105" w:type="dxa"/>
            </w:tcMar>
            <w:vAlign w:val="center"/>
          </w:tcPr>
          <w:p>
            <w:pPr>
              <w:widowControl/>
              <w:spacing w:before="100" w:beforeAutospacing="1" w:after="100" w:afterAutospacing="1" w:line="90" w:lineRule="atLeast"/>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2</w:t>
            </w:r>
          </w:p>
        </w:tc>
        <w:tc>
          <w:tcPr>
            <w:tcW w:w="1538" w:type="dxa"/>
            <w:tcBorders>
              <w:tl2br w:val="nil"/>
              <w:tr2bl w:val="nil"/>
            </w:tcBorders>
            <w:noWrap w:val="0"/>
            <w:tcMar>
              <w:left w:w="105" w:type="dxa"/>
              <w:right w:w="105" w:type="dxa"/>
            </w:tcMar>
            <w:vAlign w:val="center"/>
          </w:tcPr>
          <w:p>
            <w:pPr>
              <w:widowControl/>
              <w:spacing w:before="100" w:beforeAutospacing="1" w:after="100" w:afterAutospacing="1" w:line="90" w:lineRule="atLeast"/>
              <w:jc w:val="center"/>
              <w:rPr>
                <w:rFonts w:hint="eastAsia" w:ascii="宋体" w:hAnsi="宋体" w:eastAsia="宋体" w:cs="宋体"/>
                <w:b w:val="0"/>
                <w:bCs w:val="0"/>
                <w:color w:val="auto"/>
                <w:kern w:val="0"/>
                <w:sz w:val="19"/>
                <w:szCs w:val="19"/>
                <w:lang w:val="en-US" w:eastAsia="zh-CN" w:bidi="ar-SA"/>
              </w:rPr>
            </w:pPr>
            <w:r>
              <w:rPr>
                <w:rFonts w:hint="eastAsia" w:ascii="宋体" w:hAnsi="宋体" w:eastAsia="宋体" w:cs="宋体"/>
                <w:kern w:val="0"/>
                <w:sz w:val="19"/>
                <w:szCs w:val="19"/>
              </w:rPr>
              <w:t>稳定性</w:t>
            </w:r>
          </w:p>
        </w:tc>
        <w:tc>
          <w:tcPr>
            <w:tcW w:w="1465" w:type="dxa"/>
            <w:tcBorders>
              <w:tl2br w:val="nil"/>
              <w:tr2bl w:val="nil"/>
            </w:tcBorders>
            <w:noWrap w:val="0"/>
            <w:tcMar>
              <w:left w:w="105" w:type="dxa"/>
              <w:right w:w="105" w:type="dxa"/>
            </w:tcMar>
            <w:vAlign w:val="center"/>
          </w:tcPr>
          <w:p>
            <w:pPr>
              <w:widowControl/>
              <w:spacing w:before="100" w:beforeAutospacing="1" w:after="100" w:afterAutospacing="1" w:line="90" w:lineRule="atLeast"/>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音准稳定性</w:t>
            </w:r>
          </w:p>
        </w:tc>
        <w:tc>
          <w:tcPr>
            <w:tcW w:w="1048" w:type="dxa"/>
            <w:tcBorders>
              <w:tl2br w:val="nil"/>
              <w:tr2bl w:val="nil"/>
            </w:tcBorders>
            <w:noWrap w:val="0"/>
            <w:tcMar>
              <w:left w:w="105" w:type="dxa"/>
              <w:right w:w="105" w:type="dxa"/>
            </w:tcMar>
            <w:vAlign w:val="center"/>
          </w:tcPr>
          <w:p>
            <w:pPr>
              <w:widowControl/>
              <w:spacing w:before="100" w:beforeAutospacing="1" w:after="100" w:afterAutospacing="1" w:line="90" w:lineRule="atLeast"/>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≤2</w:t>
            </w:r>
          </w:p>
        </w:tc>
        <w:tc>
          <w:tcPr>
            <w:tcW w:w="1638" w:type="dxa"/>
            <w:tcBorders>
              <w:tl2br w:val="nil"/>
              <w:tr2bl w:val="nil"/>
            </w:tcBorders>
            <w:noWrap w:val="0"/>
            <w:tcMar>
              <w:left w:w="105" w:type="dxa"/>
              <w:right w:w="105" w:type="dxa"/>
            </w:tcMar>
            <w:vAlign w:val="center"/>
          </w:tcPr>
          <w:p>
            <w:pPr>
              <w:widowControl/>
              <w:spacing w:before="100" w:beforeAutospacing="1" w:after="100" w:afterAutospacing="1" w:line="90" w:lineRule="atLeast"/>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≤1</w:t>
            </w:r>
          </w:p>
        </w:tc>
        <w:tc>
          <w:tcPr>
            <w:tcW w:w="2342" w:type="dxa"/>
            <w:tcBorders>
              <w:tl2br w:val="nil"/>
              <w:tr2bl w:val="nil"/>
            </w:tcBorders>
            <w:noWrap w:val="0"/>
            <w:tcMar>
              <w:left w:w="105" w:type="dxa"/>
              <w:right w:w="105" w:type="dxa"/>
            </w:tcMar>
            <w:vAlign w:val="center"/>
          </w:tcPr>
          <w:p>
            <w:pPr>
              <w:widowControl/>
              <w:spacing w:before="100" w:beforeAutospacing="1" w:after="100" w:afterAutospacing="1" w:line="90" w:lineRule="atLeast"/>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≤1</w:t>
            </w:r>
          </w:p>
        </w:tc>
        <w:tc>
          <w:tcPr>
            <w:tcW w:w="1968"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color w:val="auto"/>
                <w:sz w:val="19"/>
                <w:szCs w:val="19"/>
                <w:lang w:val="en-US" w:eastAsia="zh-CN"/>
              </w:rPr>
            </w:pPr>
            <w:r>
              <w:rPr>
                <w:rFonts w:hint="eastAsia" w:ascii="宋体" w:hAnsi="宋体" w:eastAsia="宋体" w:cs="宋体"/>
                <w:b w:val="0"/>
                <w:bCs w:val="0"/>
                <w:i w:val="0"/>
                <w:iCs w:val="0"/>
                <w:caps w:val="0"/>
                <w:color w:val="auto"/>
                <w:spacing w:val="0"/>
                <w:sz w:val="19"/>
                <w:szCs w:val="19"/>
                <w:lang w:eastAsia="zh-CN"/>
              </w:rPr>
              <w:t>提升</w:t>
            </w:r>
          </w:p>
        </w:tc>
        <w:tc>
          <w:tcPr>
            <w:tcW w:w="2529" w:type="dxa"/>
            <w:tcBorders>
              <w:tl2br w:val="nil"/>
              <w:tr2bl w:val="nil"/>
            </w:tcBorders>
            <w:noWrap w:val="0"/>
            <w:tcMar>
              <w:left w:w="105" w:type="dxa"/>
              <w:right w:w="105" w:type="dxa"/>
            </w:tcMar>
            <w:vAlign w:val="center"/>
          </w:tcPr>
          <w:p>
            <w:pPr>
              <w:widowControl/>
              <w:spacing w:before="100" w:beforeAutospacing="1" w:after="100" w:afterAutospacing="1" w:line="90" w:lineRule="atLeast"/>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产品性能更好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3" w:hRule="atLeast"/>
        </w:trPr>
        <w:tc>
          <w:tcPr>
            <w:tcW w:w="76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3</w:t>
            </w:r>
          </w:p>
        </w:tc>
        <w:tc>
          <w:tcPr>
            <w:tcW w:w="1538" w:type="dxa"/>
            <w:vMerge w:val="restart"/>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kern w:val="0"/>
                <w:sz w:val="19"/>
                <w:szCs w:val="19"/>
                <w:lang w:val="en-US" w:eastAsia="zh-CN" w:bidi="ar-SA"/>
              </w:rPr>
            </w:pPr>
            <w:r>
              <w:rPr>
                <w:rFonts w:hint="eastAsia" w:ascii="宋体" w:hAnsi="宋体" w:eastAsia="宋体" w:cs="宋体"/>
                <w:kern w:val="0"/>
                <w:sz w:val="19"/>
                <w:szCs w:val="19"/>
              </w:rPr>
              <w:t>弹奏手感</w:t>
            </w:r>
          </w:p>
        </w:tc>
        <w:tc>
          <w:tcPr>
            <w:tcW w:w="1465"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琴键下降负荷</w:t>
            </w:r>
          </w:p>
        </w:tc>
        <w:tc>
          <w:tcPr>
            <w:tcW w:w="104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0.56-1.37</w:t>
            </w:r>
          </w:p>
        </w:tc>
        <w:tc>
          <w:tcPr>
            <w:tcW w:w="163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0.7-1.05</w:t>
            </w:r>
          </w:p>
        </w:tc>
        <w:tc>
          <w:tcPr>
            <w:tcW w:w="2342"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0.7-1.05</w:t>
            </w:r>
          </w:p>
        </w:tc>
        <w:tc>
          <w:tcPr>
            <w:tcW w:w="1968"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color w:val="auto"/>
                <w:sz w:val="19"/>
                <w:szCs w:val="19"/>
              </w:rPr>
            </w:pPr>
            <w:r>
              <w:rPr>
                <w:rFonts w:hint="eastAsia" w:ascii="宋体" w:hAnsi="宋体" w:eastAsia="宋体" w:cs="宋体"/>
                <w:b w:val="0"/>
                <w:bCs w:val="0"/>
                <w:i w:val="0"/>
                <w:iCs w:val="0"/>
                <w:caps w:val="0"/>
                <w:color w:val="auto"/>
                <w:spacing w:val="0"/>
                <w:sz w:val="19"/>
                <w:szCs w:val="19"/>
                <w:lang w:eastAsia="zh-CN"/>
              </w:rPr>
              <w:t>提升</w:t>
            </w:r>
          </w:p>
        </w:tc>
        <w:tc>
          <w:tcPr>
            <w:tcW w:w="252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20"/>
                <w:szCs w:val="24"/>
              </w:rPr>
              <w:t>手感好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7" w:hRule="atLeast"/>
        </w:trPr>
        <w:tc>
          <w:tcPr>
            <w:tcW w:w="76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4</w:t>
            </w:r>
          </w:p>
        </w:tc>
        <w:tc>
          <w:tcPr>
            <w:tcW w:w="1538" w:type="dxa"/>
            <w:vMerge w:val="continue"/>
            <w:tcBorders>
              <w:tl2br w:val="nil"/>
              <w:tr2bl w:val="nil"/>
            </w:tcBorders>
            <w:noWrap w:val="0"/>
            <w:tcMar>
              <w:left w:w="105" w:type="dxa"/>
              <w:right w:w="105" w:type="dxa"/>
            </w:tcMar>
            <w:vAlign w:val="center"/>
          </w:tcPr>
          <w:p>
            <w:pPr>
              <w:widowControl/>
              <w:jc w:val="center"/>
              <w:rPr>
                <w:rFonts w:hint="eastAsia" w:ascii="宋体" w:hAnsi="宋体" w:eastAsia="宋体" w:cs="宋体"/>
                <w:b w:val="0"/>
                <w:bCs w:val="0"/>
                <w:color w:val="auto"/>
                <w:kern w:val="0"/>
                <w:sz w:val="19"/>
                <w:szCs w:val="19"/>
                <w:lang w:val="en-US" w:eastAsia="zh-CN" w:bidi="ar-SA"/>
              </w:rPr>
            </w:pPr>
          </w:p>
        </w:tc>
        <w:tc>
          <w:tcPr>
            <w:tcW w:w="1465"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同一台琴上琴键下降负荷</w:t>
            </w:r>
          </w:p>
        </w:tc>
        <w:tc>
          <w:tcPr>
            <w:tcW w:w="104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0.29</w:t>
            </w:r>
          </w:p>
        </w:tc>
        <w:tc>
          <w:tcPr>
            <w:tcW w:w="163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0.3</w:t>
            </w:r>
          </w:p>
        </w:tc>
        <w:tc>
          <w:tcPr>
            <w:tcW w:w="2342"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19"/>
                <w:szCs w:val="19"/>
              </w:rPr>
              <w:t>0.2</w:t>
            </w:r>
          </w:p>
        </w:tc>
        <w:tc>
          <w:tcPr>
            <w:tcW w:w="1968"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color w:val="auto"/>
                <w:sz w:val="19"/>
                <w:szCs w:val="19"/>
              </w:rPr>
            </w:pPr>
            <w:r>
              <w:rPr>
                <w:rFonts w:hint="eastAsia" w:ascii="宋体" w:hAnsi="宋体" w:eastAsia="宋体" w:cs="宋体"/>
                <w:b w:val="0"/>
                <w:bCs w:val="0"/>
                <w:i w:val="0"/>
                <w:iCs w:val="0"/>
                <w:caps w:val="0"/>
                <w:color w:val="auto"/>
                <w:spacing w:val="0"/>
                <w:sz w:val="19"/>
                <w:szCs w:val="19"/>
                <w:lang w:eastAsia="zh-CN"/>
              </w:rPr>
              <w:t>提升</w:t>
            </w:r>
          </w:p>
        </w:tc>
        <w:tc>
          <w:tcPr>
            <w:tcW w:w="252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color w:val="auto"/>
                <w:sz w:val="19"/>
                <w:szCs w:val="19"/>
              </w:rPr>
            </w:pPr>
            <w:r>
              <w:rPr>
                <w:rFonts w:hint="eastAsia" w:ascii="宋体" w:hAnsi="宋体" w:eastAsia="宋体" w:cs="宋体"/>
                <w:kern w:val="0"/>
                <w:sz w:val="20"/>
                <w:szCs w:val="24"/>
              </w:rPr>
              <w:t>手感好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7" w:hRule="atLeast"/>
        </w:trPr>
        <w:tc>
          <w:tcPr>
            <w:tcW w:w="76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5</w:t>
            </w:r>
          </w:p>
        </w:tc>
        <w:tc>
          <w:tcPr>
            <w:tcW w:w="1538" w:type="dxa"/>
            <w:vMerge w:val="continue"/>
            <w:tcBorders>
              <w:tl2br w:val="nil"/>
              <w:tr2bl w:val="nil"/>
            </w:tcBorders>
            <w:noWrap w:val="0"/>
            <w:tcMar>
              <w:left w:w="105" w:type="dxa"/>
              <w:right w:w="105" w:type="dxa"/>
            </w:tcMar>
            <w:vAlign w:val="center"/>
          </w:tcPr>
          <w:p>
            <w:pPr>
              <w:widowControl/>
              <w:jc w:val="center"/>
              <w:rPr>
                <w:rFonts w:hint="eastAsia" w:ascii="宋体" w:hAnsi="宋体" w:eastAsia="宋体" w:cs="宋体"/>
                <w:b w:val="0"/>
                <w:bCs w:val="0"/>
                <w:i w:val="0"/>
                <w:iCs w:val="0"/>
                <w:caps w:val="0"/>
                <w:color w:val="auto"/>
                <w:spacing w:val="0"/>
                <w:sz w:val="19"/>
                <w:szCs w:val="19"/>
              </w:rPr>
            </w:pPr>
          </w:p>
        </w:tc>
        <w:tc>
          <w:tcPr>
            <w:tcW w:w="1465"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相邻两键偏差琴键下降负荷</w:t>
            </w:r>
          </w:p>
        </w:tc>
        <w:tc>
          <w:tcPr>
            <w:tcW w:w="104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不超过0.14</w:t>
            </w:r>
          </w:p>
        </w:tc>
        <w:tc>
          <w:tcPr>
            <w:tcW w:w="163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不超过0.25</w:t>
            </w:r>
          </w:p>
        </w:tc>
        <w:tc>
          <w:tcPr>
            <w:tcW w:w="2342"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不超过0.1</w:t>
            </w:r>
          </w:p>
        </w:tc>
        <w:tc>
          <w:tcPr>
            <w:tcW w:w="1968"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b w:val="0"/>
                <w:bCs w:val="0"/>
                <w:i w:val="0"/>
                <w:iCs w:val="0"/>
                <w:caps w:val="0"/>
                <w:color w:val="auto"/>
                <w:spacing w:val="0"/>
                <w:sz w:val="19"/>
                <w:szCs w:val="19"/>
                <w:lang w:eastAsia="zh-CN"/>
              </w:rPr>
              <w:t>提升</w:t>
            </w:r>
          </w:p>
        </w:tc>
        <w:tc>
          <w:tcPr>
            <w:tcW w:w="252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20"/>
                <w:szCs w:val="24"/>
              </w:rPr>
              <w:t>手感好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7" w:hRule="atLeast"/>
        </w:trPr>
        <w:tc>
          <w:tcPr>
            <w:tcW w:w="76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6</w:t>
            </w:r>
          </w:p>
        </w:tc>
        <w:tc>
          <w:tcPr>
            <w:tcW w:w="1538" w:type="dxa"/>
            <w:vMerge w:val="continue"/>
            <w:tcBorders>
              <w:tl2br w:val="nil"/>
              <w:tr2bl w:val="nil"/>
            </w:tcBorders>
            <w:noWrap w:val="0"/>
            <w:tcMar>
              <w:left w:w="105" w:type="dxa"/>
              <w:right w:w="105" w:type="dxa"/>
            </w:tcMar>
            <w:vAlign w:val="center"/>
          </w:tcPr>
          <w:p>
            <w:pPr>
              <w:widowControl/>
              <w:jc w:val="center"/>
              <w:rPr>
                <w:rFonts w:hint="eastAsia" w:ascii="宋体" w:hAnsi="宋体" w:eastAsia="宋体" w:cs="宋体"/>
                <w:b w:val="0"/>
                <w:bCs w:val="0"/>
                <w:i w:val="0"/>
                <w:iCs w:val="0"/>
                <w:caps w:val="0"/>
                <w:color w:val="auto"/>
                <w:spacing w:val="0"/>
                <w:sz w:val="19"/>
                <w:szCs w:val="19"/>
              </w:rPr>
            </w:pPr>
          </w:p>
        </w:tc>
        <w:tc>
          <w:tcPr>
            <w:tcW w:w="1465"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单键轻弹与重弹声压级变化</w:t>
            </w:r>
          </w:p>
        </w:tc>
        <w:tc>
          <w:tcPr>
            <w:tcW w:w="104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≥30</w:t>
            </w:r>
          </w:p>
        </w:tc>
        <w:tc>
          <w:tcPr>
            <w:tcW w:w="163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≥30</w:t>
            </w:r>
          </w:p>
        </w:tc>
        <w:tc>
          <w:tcPr>
            <w:tcW w:w="2342"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≥35</w:t>
            </w:r>
          </w:p>
        </w:tc>
        <w:tc>
          <w:tcPr>
            <w:tcW w:w="1968"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b w:val="0"/>
                <w:bCs w:val="0"/>
                <w:i w:val="0"/>
                <w:iCs w:val="0"/>
                <w:caps w:val="0"/>
                <w:color w:val="auto"/>
                <w:spacing w:val="0"/>
                <w:sz w:val="19"/>
                <w:szCs w:val="19"/>
                <w:lang w:eastAsia="zh-CN"/>
              </w:rPr>
              <w:t>提升</w:t>
            </w:r>
          </w:p>
        </w:tc>
        <w:tc>
          <w:tcPr>
            <w:tcW w:w="252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20"/>
                <w:szCs w:val="24"/>
              </w:rPr>
              <w:t>音质更细腻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7" w:hRule="atLeast"/>
        </w:trPr>
        <w:tc>
          <w:tcPr>
            <w:tcW w:w="76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7</w:t>
            </w:r>
          </w:p>
        </w:tc>
        <w:tc>
          <w:tcPr>
            <w:tcW w:w="1538" w:type="dxa"/>
            <w:vMerge w:val="continue"/>
            <w:tcBorders>
              <w:tl2br w:val="nil"/>
              <w:tr2bl w:val="nil"/>
            </w:tcBorders>
            <w:noWrap w:val="0"/>
            <w:tcMar>
              <w:left w:w="105" w:type="dxa"/>
              <w:right w:w="105" w:type="dxa"/>
            </w:tcMar>
            <w:vAlign w:val="center"/>
          </w:tcPr>
          <w:p>
            <w:pPr>
              <w:widowControl/>
              <w:jc w:val="center"/>
              <w:rPr>
                <w:rFonts w:hint="eastAsia" w:ascii="宋体" w:hAnsi="宋体" w:eastAsia="宋体" w:cs="宋体"/>
                <w:b w:val="0"/>
                <w:bCs w:val="0"/>
                <w:i w:val="0"/>
                <w:iCs w:val="0"/>
                <w:caps w:val="0"/>
                <w:color w:val="auto"/>
                <w:spacing w:val="0"/>
                <w:sz w:val="19"/>
                <w:szCs w:val="19"/>
              </w:rPr>
            </w:pPr>
          </w:p>
        </w:tc>
        <w:tc>
          <w:tcPr>
            <w:tcW w:w="1465"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释放感</w:t>
            </w:r>
          </w:p>
        </w:tc>
        <w:tc>
          <w:tcPr>
            <w:tcW w:w="104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w:t>
            </w:r>
          </w:p>
        </w:tc>
        <w:tc>
          <w:tcPr>
            <w:tcW w:w="163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有</w:t>
            </w:r>
          </w:p>
        </w:tc>
        <w:tc>
          <w:tcPr>
            <w:tcW w:w="2342"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有</w:t>
            </w:r>
          </w:p>
        </w:tc>
        <w:tc>
          <w:tcPr>
            <w:tcW w:w="1968"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i w:val="0"/>
                <w:iCs w:val="0"/>
                <w:caps w:val="0"/>
                <w:color w:val="auto"/>
                <w:spacing w:val="0"/>
                <w:sz w:val="19"/>
                <w:szCs w:val="19"/>
                <w:lang w:val="en-US" w:eastAsia="zh-CN"/>
              </w:rPr>
            </w:pPr>
            <w:r>
              <w:rPr>
                <w:rFonts w:hint="eastAsia" w:ascii="宋体" w:hAnsi="宋体" w:eastAsia="宋体" w:cs="宋体"/>
                <w:b w:val="0"/>
                <w:bCs w:val="0"/>
                <w:i w:val="0"/>
                <w:iCs w:val="0"/>
                <w:caps w:val="0"/>
                <w:color w:val="auto"/>
                <w:spacing w:val="0"/>
                <w:sz w:val="19"/>
                <w:szCs w:val="19"/>
                <w:lang w:val="en-US" w:eastAsia="zh-CN"/>
              </w:rPr>
              <w:t>新增</w:t>
            </w:r>
          </w:p>
        </w:tc>
        <w:tc>
          <w:tcPr>
            <w:tcW w:w="252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20"/>
                <w:szCs w:val="24"/>
              </w:rPr>
              <w:t>模仿钢琴更逼真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7" w:hRule="atLeast"/>
        </w:trPr>
        <w:tc>
          <w:tcPr>
            <w:tcW w:w="769" w:type="dxa"/>
            <w:tcBorders>
              <w:tl2br w:val="nil"/>
              <w:tr2bl w:val="nil"/>
            </w:tcBorders>
            <w:noWrap w:val="0"/>
            <w:tcMar>
              <w:left w:w="105" w:type="dxa"/>
              <w:right w:w="105" w:type="dxa"/>
            </w:tcMar>
            <w:vAlign w:val="top"/>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8</w:t>
            </w:r>
          </w:p>
        </w:tc>
        <w:tc>
          <w:tcPr>
            <w:tcW w:w="1538" w:type="dxa"/>
            <w:vMerge w:val="continue"/>
            <w:tcBorders>
              <w:tl2br w:val="nil"/>
              <w:tr2bl w:val="nil"/>
            </w:tcBorders>
            <w:noWrap w:val="0"/>
            <w:tcMar>
              <w:left w:w="105" w:type="dxa"/>
              <w:right w:w="105" w:type="dxa"/>
            </w:tcMar>
            <w:vAlign w:val="center"/>
          </w:tcPr>
          <w:p>
            <w:pPr>
              <w:widowControl/>
              <w:jc w:val="center"/>
              <w:rPr>
                <w:rFonts w:hint="eastAsia" w:ascii="宋体" w:hAnsi="宋体" w:eastAsia="宋体" w:cs="宋体"/>
                <w:b w:val="0"/>
                <w:bCs w:val="0"/>
                <w:i w:val="0"/>
                <w:iCs w:val="0"/>
                <w:caps w:val="0"/>
                <w:color w:val="auto"/>
                <w:spacing w:val="0"/>
                <w:sz w:val="19"/>
                <w:szCs w:val="19"/>
              </w:rPr>
            </w:pPr>
          </w:p>
        </w:tc>
        <w:tc>
          <w:tcPr>
            <w:tcW w:w="1465"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三触点</w:t>
            </w:r>
          </w:p>
        </w:tc>
        <w:tc>
          <w:tcPr>
            <w:tcW w:w="104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w:t>
            </w:r>
          </w:p>
        </w:tc>
        <w:tc>
          <w:tcPr>
            <w:tcW w:w="1638"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有</w:t>
            </w:r>
          </w:p>
        </w:tc>
        <w:tc>
          <w:tcPr>
            <w:tcW w:w="2342"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19"/>
                <w:szCs w:val="19"/>
              </w:rPr>
              <w:t>有</w:t>
            </w:r>
          </w:p>
        </w:tc>
        <w:tc>
          <w:tcPr>
            <w:tcW w:w="1968" w:type="dxa"/>
            <w:tcBorders>
              <w:tl2br w:val="nil"/>
              <w:tr2bl w:val="nil"/>
            </w:tcBorders>
            <w:noWrap w:val="0"/>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1" w:after="100" w:afterAutospacing="1" w:line="240" w:lineRule="auto"/>
              <w:ind w:left="0" w:right="0"/>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b w:val="0"/>
                <w:bCs w:val="0"/>
                <w:i w:val="0"/>
                <w:iCs w:val="0"/>
                <w:caps w:val="0"/>
                <w:color w:val="auto"/>
                <w:spacing w:val="0"/>
                <w:sz w:val="19"/>
                <w:szCs w:val="19"/>
                <w:lang w:val="en-US" w:eastAsia="zh-CN"/>
              </w:rPr>
              <w:t>新增</w:t>
            </w:r>
          </w:p>
        </w:tc>
        <w:tc>
          <w:tcPr>
            <w:tcW w:w="2529" w:type="dxa"/>
            <w:tcBorders>
              <w:tl2br w:val="nil"/>
              <w:tr2bl w:val="nil"/>
            </w:tcBorders>
            <w:noWrap w:val="0"/>
            <w:tcMar>
              <w:left w:w="105" w:type="dxa"/>
              <w:right w:w="105" w:type="dxa"/>
            </w:tcMar>
            <w:vAlign w:val="center"/>
          </w:tcPr>
          <w:p>
            <w:pPr>
              <w:widowControl/>
              <w:spacing w:before="100" w:beforeAutospacing="1" w:after="100" w:afterAutospacing="1"/>
              <w:jc w:val="center"/>
              <w:rPr>
                <w:rFonts w:hint="eastAsia" w:ascii="宋体" w:hAnsi="宋体" w:eastAsia="宋体" w:cs="宋体"/>
                <w:b w:val="0"/>
                <w:bCs w:val="0"/>
                <w:i w:val="0"/>
                <w:iCs w:val="0"/>
                <w:caps w:val="0"/>
                <w:color w:val="auto"/>
                <w:spacing w:val="0"/>
                <w:sz w:val="19"/>
                <w:szCs w:val="19"/>
              </w:rPr>
            </w:pPr>
            <w:r>
              <w:rPr>
                <w:rFonts w:hint="eastAsia" w:ascii="宋体" w:hAnsi="宋体" w:eastAsia="宋体" w:cs="宋体"/>
                <w:kern w:val="0"/>
                <w:sz w:val="20"/>
                <w:szCs w:val="24"/>
              </w:rPr>
              <w:t>音质更细腻</w:t>
            </w:r>
          </w:p>
        </w:tc>
      </w:tr>
    </w:tbl>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pPr>
    </w:p>
    <w:p>
      <w:pPr>
        <w:rPr>
          <w:rFonts w:hint="default" w:ascii="宋体" w:hAnsi="宋体"/>
          <w:sz w:val="24"/>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before="312" w:beforeLines="100" w:after="312" w:afterLines="100" w:line="360" w:lineRule="auto"/>
        <w:jc w:val="left"/>
        <w:outlineLvl w:val="1"/>
        <w:rPr>
          <w:rFonts w:hint="eastAsia" w:ascii="宋体" w:hAnsi="宋体"/>
          <w:b/>
          <w:kern w:val="0"/>
          <w:sz w:val="24"/>
        </w:rPr>
      </w:pPr>
      <w:r>
        <w:rPr>
          <w:rFonts w:hint="eastAsia" w:ascii="宋体" w:hAnsi="宋体"/>
          <w:b/>
          <w:kern w:val="0"/>
          <w:sz w:val="24"/>
        </w:rPr>
        <w:t>5.2  基本要求(型式试验规定技术指标外的产品设计、原材料、关键技术、工艺、设备等方面)、质量承诺等体现“浙江制造”标准“四精”特征的相关先进性的对比情况。</w:t>
      </w:r>
    </w:p>
    <w:p>
      <w:pPr>
        <w:numPr>
          <w:ilvl w:val="0"/>
          <w:numId w:val="4"/>
        </w:numPr>
        <w:adjustRightInd w:val="0"/>
        <w:snapToGrid w:val="0"/>
        <w:spacing w:line="300" w:lineRule="auto"/>
        <w:ind w:left="105" w:firstLine="105"/>
        <w:rPr>
          <w:rFonts w:hint="eastAsia" w:ascii="宋体" w:hAnsi="宋体"/>
          <w:b/>
          <w:kern w:val="0"/>
          <w:sz w:val="24"/>
        </w:rPr>
      </w:pPr>
      <w:r>
        <w:rPr>
          <w:rFonts w:hint="eastAsia" w:ascii="宋体" w:hAnsi="宋体"/>
          <w:b/>
          <w:kern w:val="0"/>
          <w:sz w:val="24"/>
        </w:rPr>
        <w:t>设计研发</w:t>
      </w:r>
    </w:p>
    <w:p>
      <w:pPr>
        <w:widowControl/>
        <w:numPr>
          <w:ilvl w:val="0"/>
          <w:numId w:val="5"/>
        </w:numPr>
        <w:tabs>
          <w:tab w:val="left" w:pos="420"/>
        </w:tabs>
        <w:spacing w:line="360" w:lineRule="auto"/>
        <w:jc w:val="left"/>
        <w:outlineLvl w:val="3"/>
        <w:rPr>
          <w:rFonts w:hint="eastAsia" w:ascii="宋体" w:hAnsi="宋体" w:eastAsia="宋体" w:cs="宋体"/>
          <w:color w:val="000000"/>
          <w:sz w:val="24"/>
          <w:highlight w:val="none"/>
          <w:lang w:val="en-US"/>
        </w:rPr>
      </w:pPr>
      <w:r>
        <w:rPr>
          <w:rFonts w:hint="eastAsia" w:ascii="宋体" w:hAnsi="宋体" w:eastAsia="宋体" w:cs="宋体"/>
          <w:sz w:val="24"/>
          <w:highlight w:val="none"/>
        </w:rPr>
        <w:t>应采用CAD</w:t>
      </w:r>
      <w:r>
        <w:rPr>
          <w:rFonts w:hint="eastAsia" w:ascii="宋体" w:hAnsi="宋体" w:eastAsia="宋体" w:cs="宋体"/>
          <w:sz w:val="24"/>
          <w:highlight w:val="none"/>
          <w:lang w:eastAsia="zh-CN"/>
        </w:rPr>
        <w:t>、</w:t>
      </w:r>
      <w:r>
        <w:rPr>
          <w:rFonts w:hint="eastAsia" w:ascii="宋体" w:hAnsi="宋体" w:eastAsia="宋体" w:cs="宋体"/>
          <w:sz w:val="24"/>
          <w:highlight w:val="none"/>
        </w:rPr>
        <w:t>Pro/E等软件完成</w:t>
      </w:r>
      <w:r>
        <w:rPr>
          <w:rFonts w:hint="eastAsia" w:ascii="宋体" w:hAnsi="宋体" w:eastAsia="宋体" w:cs="宋体"/>
          <w:sz w:val="24"/>
          <w:highlight w:val="none"/>
          <w:lang w:val="en-US" w:eastAsia="zh-CN"/>
        </w:rPr>
        <w:t>电子钢琴零件</w:t>
      </w:r>
      <w:r>
        <w:rPr>
          <w:rFonts w:hint="eastAsia" w:ascii="宋体" w:hAnsi="宋体" w:eastAsia="宋体" w:cs="宋体"/>
          <w:sz w:val="24"/>
          <w:highlight w:val="none"/>
        </w:rPr>
        <w:t>设计</w:t>
      </w:r>
      <w:r>
        <w:rPr>
          <w:rFonts w:hint="eastAsia" w:ascii="宋体" w:hAnsi="宋体" w:eastAsia="宋体" w:cs="宋体"/>
          <w:color w:val="000000"/>
          <w:sz w:val="24"/>
          <w:highlight w:val="none"/>
          <w:lang w:val="en-US" w:eastAsia="zh-CN"/>
        </w:rPr>
        <w:t>。</w:t>
      </w:r>
    </w:p>
    <w:p>
      <w:pPr>
        <w:widowControl/>
        <w:numPr>
          <w:ilvl w:val="0"/>
          <w:numId w:val="5"/>
        </w:numPr>
        <w:tabs>
          <w:tab w:val="left" w:pos="420"/>
        </w:tabs>
        <w:spacing w:line="360" w:lineRule="auto"/>
        <w:jc w:val="left"/>
        <w:outlineLvl w:val="3"/>
        <w:rPr>
          <w:rFonts w:hint="eastAsia" w:ascii="宋体" w:hAnsi="宋体" w:eastAsia="宋体" w:cs="宋体"/>
          <w:color w:val="000000"/>
          <w:sz w:val="24"/>
          <w:highlight w:val="none"/>
          <w:lang w:val="en-US"/>
        </w:rPr>
      </w:pPr>
      <w:r>
        <w:rPr>
          <w:rFonts w:hint="eastAsia" w:ascii="宋体" w:hAnsi="宋体" w:eastAsia="宋体" w:cs="宋体"/>
          <w:color w:val="000000"/>
          <w:sz w:val="24"/>
          <w:highlight w:val="none"/>
          <w:lang w:val="en-US" w:eastAsia="zh-CN"/>
        </w:rPr>
        <w:t>琴键力度应模拟仿真。</w:t>
      </w:r>
    </w:p>
    <w:p>
      <w:pPr>
        <w:widowControl/>
        <w:numPr>
          <w:ilvl w:val="0"/>
          <w:numId w:val="5"/>
        </w:numPr>
        <w:tabs>
          <w:tab w:val="left" w:pos="420"/>
        </w:tabs>
        <w:spacing w:line="360" w:lineRule="auto"/>
        <w:jc w:val="left"/>
        <w:outlineLvl w:val="3"/>
        <w:rPr>
          <w:rFonts w:hint="eastAsia" w:ascii="宋体" w:hAnsi="宋体" w:eastAsia="宋体" w:cs="宋体"/>
          <w:color w:val="000000"/>
          <w:sz w:val="24"/>
          <w:highlight w:val="none"/>
          <w:lang w:val="en-US"/>
        </w:rPr>
      </w:pPr>
      <w:r>
        <w:rPr>
          <w:rFonts w:hint="eastAsia" w:ascii="宋体" w:hAnsi="宋体" w:eastAsia="宋体" w:cs="宋体"/>
          <w:color w:val="000000"/>
          <w:sz w:val="24"/>
          <w:highlight w:val="none"/>
          <w:lang w:val="en-US" w:eastAsia="zh-CN"/>
        </w:rPr>
        <w:t>应采用专业的系统进行产品进度跟踪反馈。</w:t>
      </w:r>
    </w:p>
    <w:p>
      <w:pPr>
        <w:widowControl/>
        <w:numPr>
          <w:ilvl w:val="0"/>
          <w:numId w:val="5"/>
        </w:numPr>
        <w:tabs>
          <w:tab w:val="left" w:pos="420"/>
        </w:tabs>
        <w:spacing w:line="360" w:lineRule="auto"/>
        <w:jc w:val="left"/>
        <w:outlineLvl w:val="3"/>
        <w:rPr>
          <w:rFonts w:hint="eastAsia" w:ascii="宋体" w:hAnsi="宋体" w:eastAsia="宋体" w:cs="Times New Roman"/>
          <w:color w:val="000000"/>
          <w:sz w:val="24"/>
          <w:highlight w:val="none"/>
          <w:lang w:val="en-US"/>
        </w:rPr>
      </w:pPr>
      <w:r>
        <w:rPr>
          <w:rFonts w:hint="eastAsia" w:ascii="宋体" w:hAnsi="宋体" w:eastAsia="宋体" w:cs="宋体"/>
          <w:color w:val="000000"/>
          <w:sz w:val="24"/>
          <w:highlight w:val="none"/>
          <w:lang w:val="en-US" w:eastAsia="zh-CN"/>
        </w:rPr>
        <w:t>产品应采用易拆解设计，具有模块化、标准化的设计特点。</w:t>
      </w:r>
    </w:p>
    <w:p>
      <w:pPr>
        <w:numPr>
          <w:ilvl w:val="0"/>
          <w:numId w:val="4"/>
        </w:numPr>
        <w:adjustRightInd w:val="0"/>
        <w:snapToGrid w:val="0"/>
        <w:spacing w:line="360" w:lineRule="auto"/>
        <w:ind w:left="105" w:firstLine="105"/>
        <w:rPr>
          <w:rFonts w:hint="eastAsia" w:ascii="宋体" w:hAnsi="宋体" w:cs="仿宋"/>
          <w:b/>
          <w:sz w:val="24"/>
          <w:highlight w:val="none"/>
        </w:rPr>
      </w:pPr>
      <w:r>
        <w:rPr>
          <w:rFonts w:hint="eastAsia" w:ascii="宋体" w:hAnsi="宋体" w:cs="仿宋"/>
          <w:b/>
          <w:sz w:val="24"/>
          <w:highlight w:val="none"/>
        </w:rPr>
        <w:t>原材料</w:t>
      </w:r>
    </w:p>
    <w:p>
      <w:pPr>
        <w:widowControl/>
        <w:numPr>
          <w:ilvl w:val="0"/>
          <w:numId w:val="5"/>
        </w:numPr>
        <w:tabs>
          <w:tab w:val="left" w:pos="420"/>
        </w:tabs>
        <w:spacing w:line="360" w:lineRule="auto"/>
        <w:jc w:val="left"/>
        <w:outlineLvl w:val="3"/>
        <w:rPr>
          <w:rFonts w:hint="eastAsia" w:ascii="宋体" w:hAnsi="宋体" w:cs="仿宋"/>
          <w:b/>
          <w:sz w:val="24"/>
          <w:highlight w:val="none"/>
        </w:rPr>
      </w:pPr>
      <w:r>
        <w:rPr>
          <w:rFonts w:hint="eastAsia" w:ascii="宋体" w:hAnsi="宋体" w:eastAsia="宋体" w:cs="仿宋"/>
          <w:bCs/>
          <w:sz w:val="24"/>
          <w:highlight w:val="none"/>
          <w:lang w:val="en-US" w:eastAsia="zh-CN"/>
        </w:rPr>
        <w:t>导电胶应使用高亢拉斯硅胶材质。</w:t>
      </w:r>
    </w:p>
    <w:p>
      <w:pPr>
        <w:widowControl/>
        <w:numPr>
          <w:ilvl w:val="0"/>
          <w:numId w:val="5"/>
        </w:numPr>
        <w:tabs>
          <w:tab w:val="left" w:pos="420"/>
        </w:tabs>
        <w:spacing w:line="360" w:lineRule="auto"/>
        <w:jc w:val="left"/>
        <w:outlineLvl w:val="3"/>
        <w:rPr>
          <w:rFonts w:hint="eastAsia" w:ascii="宋体" w:hAnsi="宋体" w:cs="仿宋"/>
          <w:b/>
          <w:sz w:val="24"/>
          <w:highlight w:val="none"/>
        </w:rPr>
      </w:pPr>
      <w:r>
        <w:rPr>
          <w:rFonts w:hint="eastAsia" w:ascii="宋体" w:hAnsi="宋体" w:eastAsia="宋体" w:cs="仿宋"/>
          <w:bCs/>
          <w:sz w:val="24"/>
          <w:highlight w:val="none"/>
          <w:lang w:val="en-US" w:eastAsia="zh-CN"/>
        </w:rPr>
        <w:t>琴键应使用全新ABS原料。</w:t>
      </w:r>
    </w:p>
    <w:p>
      <w:pPr>
        <w:numPr>
          <w:ilvl w:val="0"/>
          <w:numId w:val="4"/>
        </w:numPr>
        <w:adjustRightInd w:val="0"/>
        <w:snapToGrid w:val="0"/>
        <w:spacing w:line="360" w:lineRule="auto"/>
        <w:ind w:left="105" w:firstLine="105"/>
        <w:rPr>
          <w:rFonts w:hint="eastAsia" w:ascii="宋体" w:hAnsi="宋体" w:cs="仿宋"/>
          <w:b/>
          <w:sz w:val="24"/>
          <w:highlight w:val="none"/>
        </w:rPr>
      </w:pPr>
      <w:r>
        <w:rPr>
          <w:rFonts w:hint="eastAsia" w:ascii="宋体" w:hAnsi="宋体" w:cs="仿宋"/>
          <w:b/>
          <w:sz w:val="24"/>
          <w:highlight w:val="none"/>
        </w:rPr>
        <w:t>工艺</w:t>
      </w:r>
      <w:r>
        <w:rPr>
          <w:rFonts w:hint="eastAsia" w:ascii="宋体" w:hAnsi="宋体" w:cs="仿宋"/>
          <w:b/>
          <w:sz w:val="24"/>
          <w:highlight w:val="none"/>
          <w:lang w:eastAsia="zh-CN"/>
        </w:rPr>
        <w:t>与</w:t>
      </w:r>
      <w:r>
        <w:rPr>
          <w:rFonts w:hint="eastAsia" w:ascii="宋体" w:hAnsi="宋体" w:cs="仿宋"/>
          <w:b/>
          <w:sz w:val="24"/>
          <w:highlight w:val="none"/>
        </w:rPr>
        <w:t>设备</w:t>
      </w:r>
    </w:p>
    <w:p>
      <w:pPr>
        <w:keepNext w:val="0"/>
        <w:keepLines w:val="0"/>
        <w:pageBreakBefore w:val="0"/>
        <w:widowControl/>
        <w:numPr>
          <w:ilvl w:val="0"/>
          <w:numId w:val="6"/>
        </w:numPr>
        <w:tabs>
          <w:tab w:val="left" w:pos="420"/>
        </w:tabs>
        <w:kinsoku/>
        <w:wordWrap/>
        <w:overflowPunct/>
        <w:topLinePunct w:val="0"/>
        <w:autoSpaceDE/>
        <w:autoSpaceDN/>
        <w:bidi w:val="0"/>
        <w:adjustRightInd/>
        <w:snapToGrid/>
        <w:spacing w:line="360" w:lineRule="auto"/>
        <w:ind w:left="0" w:leftChars="0" w:firstLine="480" w:firstLineChars="200"/>
        <w:jc w:val="left"/>
        <w:textAlignment w:val="auto"/>
        <w:outlineLvl w:val="3"/>
        <w:rPr>
          <w:rFonts w:hint="eastAsia" w:ascii="宋体" w:hAnsi="宋体" w:eastAsia="宋体" w:cs="宋体"/>
          <w:color w:val="000000"/>
          <w:sz w:val="24"/>
          <w:szCs w:val="24"/>
          <w:highlight w:val="none"/>
          <w:lang w:val="en-US"/>
        </w:rPr>
      </w:pPr>
      <w:r>
        <w:rPr>
          <w:rFonts w:hint="eastAsia" w:ascii="宋体" w:hAnsi="宋体" w:eastAsia="宋体" w:cs="宋体"/>
          <w:color w:val="000000"/>
          <w:sz w:val="24"/>
          <w:szCs w:val="24"/>
          <w:highlight w:val="none"/>
          <w:lang w:val="en-US" w:eastAsia="zh-CN"/>
        </w:rPr>
        <w:t>应具备全自动焊接设备、键盘磨合机等加工设备</w:t>
      </w:r>
    </w:p>
    <w:p>
      <w:pPr>
        <w:keepNext w:val="0"/>
        <w:keepLines w:val="0"/>
        <w:pageBreakBefore w:val="0"/>
        <w:widowControl/>
        <w:numPr>
          <w:ilvl w:val="0"/>
          <w:numId w:val="6"/>
        </w:numPr>
        <w:tabs>
          <w:tab w:val="left" w:pos="420"/>
        </w:tabs>
        <w:kinsoku/>
        <w:wordWrap/>
        <w:overflowPunct/>
        <w:topLinePunct w:val="0"/>
        <w:autoSpaceDE/>
        <w:autoSpaceDN/>
        <w:bidi w:val="0"/>
        <w:adjustRightInd/>
        <w:snapToGrid/>
        <w:spacing w:line="360" w:lineRule="auto"/>
        <w:ind w:left="0" w:leftChars="0" w:firstLine="480" w:firstLineChars="200"/>
        <w:jc w:val="left"/>
        <w:textAlignment w:val="auto"/>
        <w:outlineLvl w:val="3"/>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应具备AI自动插件机、自动注塑机械手、键盘自动注油设备、自动锁螺丝机等设备。</w:t>
      </w:r>
    </w:p>
    <w:p>
      <w:pPr>
        <w:numPr>
          <w:ilvl w:val="0"/>
          <w:numId w:val="4"/>
        </w:numPr>
        <w:adjustRightInd w:val="0"/>
        <w:snapToGrid w:val="0"/>
        <w:spacing w:line="360" w:lineRule="auto"/>
        <w:ind w:left="105" w:firstLine="105"/>
        <w:rPr>
          <w:rFonts w:hint="eastAsia" w:ascii="宋体" w:hAnsi="宋体" w:eastAsia="宋体" w:cs="仿宋"/>
          <w:b/>
          <w:sz w:val="24"/>
          <w:highlight w:val="none"/>
        </w:rPr>
      </w:pPr>
      <w:r>
        <w:rPr>
          <w:rFonts w:hint="eastAsia" w:ascii="宋体" w:hAnsi="宋体" w:eastAsia="宋体" w:cs="仿宋"/>
          <w:b/>
          <w:sz w:val="24"/>
          <w:highlight w:val="none"/>
          <w:lang w:eastAsia="zh-CN"/>
        </w:rPr>
        <w:t>检验检测</w:t>
      </w:r>
    </w:p>
    <w:p>
      <w:pPr>
        <w:keepNext w:val="0"/>
        <w:keepLines w:val="0"/>
        <w:pageBreakBefore w:val="0"/>
        <w:widowControl/>
        <w:numPr>
          <w:ilvl w:val="0"/>
          <w:numId w:val="7"/>
        </w:numPr>
        <w:tabs>
          <w:tab w:val="left" w:pos="420"/>
        </w:tabs>
        <w:kinsoku/>
        <w:wordWrap/>
        <w:overflowPunct/>
        <w:topLinePunct w:val="0"/>
        <w:autoSpaceDE/>
        <w:autoSpaceDN/>
        <w:bidi w:val="0"/>
        <w:adjustRightInd/>
        <w:snapToGrid/>
        <w:spacing w:line="360" w:lineRule="auto"/>
        <w:ind w:left="0" w:leftChars="0" w:firstLine="480" w:firstLineChars="200"/>
        <w:jc w:val="left"/>
        <w:textAlignment w:val="auto"/>
        <w:outlineLvl w:val="3"/>
        <w:rPr>
          <w:rFonts w:hint="eastAsia" w:ascii="宋体" w:hAnsi="宋体" w:eastAsia="宋体" w:cs="宋体"/>
          <w:color w:val="000000"/>
          <w:sz w:val="24"/>
          <w:szCs w:val="24"/>
          <w:highlight w:val="none"/>
          <w:lang w:val="en-US" w:eastAsia="zh-CN"/>
        </w:rPr>
      </w:pPr>
      <w:r>
        <w:rPr>
          <w:rFonts w:hint="eastAsia" w:ascii="宋体" w:hAnsi="宋体"/>
          <w:sz w:val="24"/>
          <w:highlight w:val="none"/>
          <w:lang w:val="en-US" w:eastAsia="zh-CN"/>
        </w:rPr>
        <w:t>应具备振动试验机、高低温实验箱、力度试验仪等检验设备。</w:t>
      </w:r>
    </w:p>
    <w:p>
      <w:pPr>
        <w:keepNext w:val="0"/>
        <w:keepLines w:val="0"/>
        <w:pageBreakBefore w:val="0"/>
        <w:widowControl/>
        <w:numPr>
          <w:ilvl w:val="0"/>
          <w:numId w:val="7"/>
        </w:numPr>
        <w:tabs>
          <w:tab w:val="left" w:pos="420"/>
        </w:tabs>
        <w:kinsoku/>
        <w:wordWrap/>
        <w:overflowPunct/>
        <w:topLinePunct w:val="0"/>
        <w:autoSpaceDE/>
        <w:autoSpaceDN/>
        <w:bidi w:val="0"/>
        <w:adjustRightInd/>
        <w:snapToGrid/>
        <w:spacing w:line="360" w:lineRule="auto"/>
        <w:ind w:left="0" w:leftChars="0" w:firstLine="480" w:firstLineChars="200"/>
        <w:jc w:val="left"/>
        <w:textAlignment w:val="auto"/>
        <w:outlineLvl w:val="3"/>
        <w:rPr>
          <w:rFonts w:hint="eastAsia" w:ascii="宋体" w:hAnsi="宋体" w:eastAsia="宋体" w:cs="宋体"/>
          <w:color w:val="000000"/>
          <w:sz w:val="24"/>
          <w:szCs w:val="24"/>
          <w:highlight w:val="none"/>
          <w:lang w:val="en-US" w:eastAsia="zh-CN"/>
        </w:rPr>
      </w:pPr>
      <w:r>
        <w:rPr>
          <w:rFonts w:hint="eastAsia" w:ascii="宋体" w:hAnsi="宋体"/>
          <w:sz w:val="24"/>
          <w:highlight w:val="none"/>
          <w:lang w:val="en-US" w:eastAsia="zh-CN"/>
        </w:rPr>
        <w:t>应具备对键盘寿命的检验能力。</w:t>
      </w:r>
    </w:p>
    <w:p>
      <w:pPr>
        <w:keepNext w:val="0"/>
        <w:keepLines w:val="0"/>
        <w:pageBreakBefore w:val="0"/>
        <w:widowControl/>
        <w:numPr>
          <w:ilvl w:val="0"/>
          <w:numId w:val="7"/>
        </w:numPr>
        <w:tabs>
          <w:tab w:val="left" w:pos="420"/>
        </w:tabs>
        <w:kinsoku/>
        <w:wordWrap/>
        <w:overflowPunct/>
        <w:topLinePunct w:val="0"/>
        <w:autoSpaceDE/>
        <w:autoSpaceDN/>
        <w:bidi w:val="0"/>
        <w:adjustRightInd/>
        <w:snapToGrid/>
        <w:spacing w:line="360" w:lineRule="auto"/>
        <w:ind w:left="0" w:leftChars="0" w:firstLine="480" w:firstLineChars="200"/>
        <w:jc w:val="left"/>
        <w:textAlignment w:val="auto"/>
        <w:outlineLvl w:val="3"/>
        <w:rPr>
          <w:rFonts w:hint="eastAsia" w:ascii="宋体" w:hAnsi="宋体" w:eastAsia="宋体" w:cs="宋体"/>
          <w:color w:val="000000"/>
          <w:sz w:val="24"/>
          <w:szCs w:val="24"/>
          <w:highlight w:val="none"/>
          <w:lang w:val="en-US" w:eastAsia="zh-CN"/>
        </w:rPr>
      </w:pPr>
      <w:r>
        <w:rPr>
          <w:rFonts w:hint="eastAsia" w:ascii="宋体" w:hAnsi="宋体"/>
          <w:sz w:val="24"/>
          <w:highlight w:val="none"/>
          <w:lang w:val="en-US" w:eastAsia="zh-CN"/>
        </w:rPr>
        <w:t>产品应通过力度测试仪检验。</w:t>
      </w:r>
    </w:p>
    <w:p>
      <w:pPr>
        <w:numPr>
          <w:ilvl w:val="0"/>
          <w:numId w:val="4"/>
        </w:numPr>
        <w:adjustRightInd w:val="0"/>
        <w:snapToGrid w:val="0"/>
        <w:spacing w:line="360" w:lineRule="auto"/>
        <w:ind w:left="210" w:firstLine="0"/>
        <w:rPr>
          <w:rFonts w:hint="eastAsia" w:ascii="宋体" w:hAnsi="宋体" w:cs="仿宋"/>
          <w:b/>
          <w:sz w:val="24"/>
        </w:rPr>
      </w:pPr>
      <w:r>
        <w:rPr>
          <w:rFonts w:hint="eastAsia" w:ascii="宋体" w:hAnsi="宋体" w:cs="仿宋"/>
          <w:b/>
          <w:sz w:val="24"/>
        </w:rPr>
        <w:t>质量承诺</w:t>
      </w:r>
    </w:p>
    <w:p>
      <w:pPr>
        <w:spacing w:line="500" w:lineRule="exact"/>
        <w:ind w:firstLine="480"/>
        <w:rPr>
          <w:rFonts w:hint="eastAsia" w:ascii="宋体" w:hAnsi="宋体" w:eastAsia="宋体" w:cs="仿宋"/>
          <w:sz w:val="24"/>
          <w:lang w:eastAsia="zh-CN"/>
        </w:rPr>
      </w:pPr>
      <w:r>
        <w:rPr>
          <w:rFonts w:hint="eastAsia" w:ascii="宋体" w:hAnsi="宋体" w:eastAsia="宋体" w:cs="仿宋"/>
          <w:sz w:val="24"/>
          <w:lang w:eastAsia="zh-CN"/>
        </w:rPr>
        <w:t>为体现“浙江制造”标准的“精诚服务”这一理念，浙江制造标准研制工作组要求对产品做出质量安全保证承诺，这部分主要体现对客户的服务承诺和产品质量保证要求。具体要求如下：</w:t>
      </w:r>
    </w:p>
    <w:p>
      <w:pPr>
        <w:keepNext w:val="0"/>
        <w:keepLines w:val="0"/>
        <w:pageBreakBefore w:val="0"/>
        <w:widowControl/>
        <w:numPr>
          <w:ilvl w:val="0"/>
          <w:numId w:val="8"/>
        </w:numPr>
        <w:tabs>
          <w:tab w:val="left" w:pos="420"/>
        </w:tabs>
        <w:kinsoku/>
        <w:wordWrap/>
        <w:overflowPunct/>
        <w:topLinePunct w:val="0"/>
        <w:autoSpaceDE/>
        <w:autoSpaceDN/>
        <w:bidi w:val="0"/>
        <w:adjustRightInd/>
        <w:snapToGrid/>
        <w:spacing w:line="360" w:lineRule="auto"/>
        <w:ind w:left="0" w:leftChars="0" w:firstLine="480" w:firstLineChars="200"/>
        <w:jc w:val="left"/>
        <w:textAlignment w:val="auto"/>
        <w:outlineLvl w:val="3"/>
        <w:rPr>
          <w:rFonts w:hint="eastAsia" w:ascii="宋体" w:hAnsi="宋体" w:eastAsia="宋体" w:cs="Times New Roman"/>
          <w:color w:val="000000"/>
          <w:sz w:val="24"/>
          <w:highlight w:val="none"/>
          <w:lang w:val="en-US" w:eastAsia="zh-CN"/>
        </w:rPr>
      </w:pPr>
      <w:r>
        <w:rPr>
          <w:rFonts w:hint="eastAsia" w:ascii="宋体" w:hAnsi="宋体" w:eastAsia="宋体" w:cs="Times New Roman"/>
          <w:color w:val="000000"/>
          <w:sz w:val="24"/>
          <w:highlight w:val="none"/>
          <w:lang w:val="en-US" w:eastAsia="zh-CN"/>
        </w:rPr>
        <w:t>自销售之日起12个月内如出现因制造商原因造成的质量问题，应免费更换或退回。</w:t>
      </w:r>
    </w:p>
    <w:p>
      <w:pPr>
        <w:keepNext w:val="0"/>
        <w:keepLines w:val="0"/>
        <w:pageBreakBefore w:val="0"/>
        <w:widowControl/>
        <w:numPr>
          <w:ilvl w:val="0"/>
          <w:numId w:val="8"/>
        </w:numPr>
        <w:tabs>
          <w:tab w:val="left" w:pos="420"/>
        </w:tabs>
        <w:kinsoku/>
        <w:wordWrap/>
        <w:overflowPunct/>
        <w:topLinePunct w:val="0"/>
        <w:autoSpaceDE/>
        <w:autoSpaceDN/>
        <w:bidi w:val="0"/>
        <w:adjustRightInd/>
        <w:snapToGrid/>
        <w:spacing w:line="360" w:lineRule="auto"/>
        <w:ind w:left="0" w:leftChars="0" w:firstLine="480" w:firstLineChars="200"/>
        <w:jc w:val="left"/>
        <w:textAlignment w:val="auto"/>
        <w:outlineLvl w:val="3"/>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客户有诉求时，应在24 h内响应。</w:t>
      </w:r>
    </w:p>
    <w:p>
      <w:pPr>
        <w:pStyle w:val="8"/>
        <w:spacing w:after="156" w:afterLines="50"/>
        <w:jc w:val="left"/>
        <w:rPr>
          <w:rFonts w:hint="eastAsia" w:ascii="宋体" w:hAnsi="宋体" w:eastAsia="宋体"/>
          <w:b/>
          <w:sz w:val="24"/>
          <w:szCs w:val="24"/>
        </w:rPr>
      </w:pPr>
      <w:r>
        <w:rPr>
          <w:rFonts w:hint="eastAsia" w:ascii="宋体" w:hAnsi="宋体" w:eastAsia="宋体"/>
          <w:b/>
          <w:sz w:val="24"/>
          <w:szCs w:val="24"/>
        </w:rPr>
        <w:t>5.3  标准中能体现“智能制造”、“绿色制造”先进性的内容说明。（若无相关先进性也应说明）。</w:t>
      </w:r>
    </w:p>
    <w:p>
      <w:pPr>
        <w:spacing w:line="500" w:lineRule="exact"/>
        <w:ind w:firstLine="480" w:firstLineChars="200"/>
        <w:rPr>
          <w:rFonts w:hint="eastAsia" w:ascii="宋体" w:hAnsi="宋体"/>
          <w:sz w:val="24"/>
        </w:rPr>
      </w:pPr>
      <w:r>
        <w:rPr>
          <w:rFonts w:hint="eastAsia" w:ascii="宋体" w:hAnsi="宋体"/>
          <w:sz w:val="24"/>
        </w:rPr>
        <w:t>智能制造说明：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公司拥有</w:t>
      </w:r>
      <w:r>
        <w:rPr>
          <w:rFonts w:hint="eastAsia" w:ascii="宋体" w:hAnsi="宋体" w:eastAsia="宋体" w:cs="宋体"/>
          <w:sz w:val="24"/>
          <w:szCs w:val="24"/>
        </w:rPr>
        <w:t>自主设计</w:t>
      </w:r>
      <w:r>
        <w:rPr>
          <w:rFonts w:hint="eastAsia" w:ascii="宋体" w:hAnsi="宋体" w:eastAsia="宋体" w:cs="宋体"/>
          <w:sz w:val="24"/>
          <w:szCs w:val="24"/>
          <w:lang w:val="en-US" w:eastAsia="zh-CN"/>
        </w:rPr>
        <w:t>的</w:t>
      </w:r>
      <w:r>
        <w:rPr>
          <w:rFonts w:hint="eastAsia" w:ascii="宋体" w:hAnsi="宋体" w:eastAsia="宋体" w:cs="宋体"/>
          <w:sz w:val="24"/>
          <w:szCs w:val="24"/>
        </w:rPr>
        <w:t>工作系统，</w:t>
      </w:r>
      <w:r>
        <w:rPr>
          <w:rFonts w:hint="eastAsia" w:ascii="宋体" w:hAnsi="宋体" w:eastAsia="宋体" w:cs="宋体"/>
          <w:sz w:val="24"/>
          <w:szCs w:val="24"/>
          <w:lang w:val="en-US" w:eastAsia="zh-CN"/>
        </w:rPr>
        <w:t>可以实时</w:t>
      </w:r>
      <w:r>
        <w:rPr>
          <w:rFonts w:hint="eastAsia" w:ascii="宋体" w:hAnsi="宋体" w:eastAsia="宋体" w:cs="宋体"/>
          <w:sz w:val="24"/>
          <w:szCs w:val="24"/>
        </w:rPr>
        <w:t>跟踪产品</w:t>
      </w:r>
      <w:r>
        <w:rPr>
          <w:rFonts w:hint="eastAsia" w:ascii="宋体" w:hAnsi="宋体" w:eastAsia="宋体" w:cs="宋体"/>
          <w:sz w:val="24"/>
          <w:szCs w:val="24"/>
          <w:lang w:val="en-US" w:eastAsia="zh-CN"/>
        </w:rPr>
        <w:t>的</w:t>
      </w:r>
      <w:r>
        <w:rPr>
          <w:rFonts w:hint="eastAsia" w:ascii="宋体" w:hAnsi="宋体" w:eastAsia="宋体" w:cs="宋体"/>
          <w:sz w:val="24"/>
          <w:szCs w:val="24"/>
        </w:rPr>
        <w:t>生产进度</w:t>
      </w:r>
      <w:r>
        <w:rPr>
          <w:rFonts w:hint="eastAsia" w:ascii="宋体" w:hAnsi="宋体" w:eastAsia="宋体" w:cs="宋体"/>
          <w:sz w:val="24"/>
          <w:szCs w:val="24"/>
          <w:lang w:val="en-US" w:eastAsia="zh-CN"/>
        </w:rPr>
        <w:t>并</w:t>
      </w:r>
      <w:r>
        <w:rPr>
          <w:rFonts w:hint="eastAsia" w:ascii="宋体" w:hAnsi="宋体" w:eastAsia="宋体" w:cs="宋体"/>
          <w:sz w:val="24"/>
          <w:szCs w:val="24"/>
        </w:rPr>
        <w:t>及时反馈问题；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公司持续增强企业创新能力，通过</w:t>
      </w:r>
      <w:r>
        <w:rPr>
          <w:rFonts w:hint="eastAsia" w:ascii="宋体" w:hAnsi="宋体" w:eastAsia="宋体" w:cs="宋体"/>
          <w:sz w:val="24"/>
          <w:szCs w:val="24"/>
        </w:rPr>
        <w:t>自主研发芯片，</w:t>
      </w:r>
      <w:r>
        <w:rPr>
          <w:rFonts w:hint="eastAsia" w:ascii="宋体" w:hAnsi="宋体" w:eastAsia="宋体" w:cs="宋体"/>
          <w:sz w:val="24"/>
          <w:szCs w:val="24"/>
          <w:lang w:val="en-US" w:eastAsia="zh-CN"/>
        </w:rPr>
        <w:t>购买引进先进生产设备，提高企业的研发实力。</w:t>
      </w:r>
      <w:r>
        <w:rPr>
          <w:rFonts w:hint="eastAsia" w:ascii="宋体" w:hAnsi="宋体" w:eastAsia="宋体" w:cs="宋体"/>
          <w:sz w:val="24"/>
          <w:szCs w:val="24"/>
        </w:rPr>
        <w:t>采用键盘自动注油机、全自动焊接芯片设备、AI自动插件机、全自动封箱包装、全自动码垛、自动注塑机械手、全自动波峰焊等自动化设备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同时</w:t>
      </w:r>
      <w:r>
        <w:rPr>
          <w:rFonts w:hint="eastAsia" w:ascii="宋体" w:hAnsi="宋体" w:eastAsia="宋体" w:cs="宋体"/>
          <w:sz w:val="24"/>
          <w:szCs w:val="24"/>
        </w:rPr>
        <w:t>拥有振动实验机、高低温实验箱、力度试验仪等检测设备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保证产品质量。</w:t>
      </w:r>
    </w:p>
    <w:p>
      <w:pPr>
        <w:spacing w:line="500" w:lineRule="exact"/>
        <w:ind w:firstLine="480" w:firstLineChars="200"/>
        <w:rPr>
          <w:rFonts w:hint="eastAsia" w:ascii="宋体" w:hAnsi="宋体"/>
          <w:sz w:val="24"/>
        </w:rPr>
      </w:pPr>
      <w:r>
        <w:rPr>
          <w:rFonts w:hint="eastAsia" w:ascii="宋体" w:hAnsi="宋体"/>
          <w:sz w:val="24"/>
        </w:rPr>
        <w:t>绿色制造说明：</w:t>
      </w:r>
    </w:p>
    <w:p>
      <w:pPr>
        <w:spacing w:line="500" w:lineRule="exact"/>
        <w:ind w:firstLine="480" w:firstLineChars="200"/>
        <w:rPr>
          <w:rFonts w:hint="eastAsia" w:ascii="宋体" w:hAnsi="宋体"/>
          <w:sz w:val="24"/>
        </w:rPr>
      </w:pPr>
      <w:r>
        <w:rPr>
          <w:rFonts w:hint="eastAsia" w:ascii="宋体" w:hAnsi="宋体"/>
          <w:sz w:val="24"/>
        </w:rPr>
        <w:t>公司制定了企业环保管理规章制度，从原材料加工到产品生产制造，到产品检验检测再到产品的仓储物流，全线管控污染物的处理，主动回收再利用污染废弃物，保证污染零排放，拥有环保处理设备以及活性炭光氧处理系统解决产品废弃物以及生产车间除尘问题。</w:t>
      </w:r>
    </w:p>
    <w:p>
      <w:pPr>
        <w:pStyle w:val="8"/>
        <w:jc w:val="left"/>
        <w:rPr>
          <w:rFonts w:hint="eastAsia" w:ascii="宋体" w:hAnsi="宋体" w:eastAsia="宋体"/>
          <w:b/>
          <w:sz w:val="24"/>
          <w:szCs w:val="24"/>
        </w:rPr>
      </w:pPr>
      <w:r>
        <w:rPr>
          <w:rFonts w:hint="eastAsia" w:ascii="宋体" w:hAnsi="宋体" w:eastAsia="宋体"/>
          <w:b/>
          <w:sz w:val="24"/>
          <w:szCs w:val="24"/>
        </w:rPr>
        <w:t>6  与现行相关法律、法规、规章及相关标准的协调性</w:t>
      </w:r>
    </w:p>
    <w:p>
      <w:pPr>
        <w:widowControl/>
        <w:spacing w:before="312" w:beforeLines="100" w:after="156" w:afterLines="50"/>
        <w:jc w:val="left"/>
        <w:outlineLvl w:val="1"/>
        <w:rPr>
          <w:rFonts w:hint="eastAsia" w:ascii="宋体" w:hAnsi="宋体"/>
          <w:b/>
          <w:kern w:val="0"/>
          <w:sz w:val="24"/>
        </w:rPr>
      </w:pPr>
      <w:r>
        <w:rPr>
          <w:rFonts w:hint="eastAsia" w:ascii="宋体" w:hAnsi="宋体"/>
          <w:b/>
          <w:kern w:val="0"/>
          <w:sz w:val="24"/>
        </w:rPr>
        <w:t>6.1  目前国内主要执行的标准有：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6"/>
          <w:u w:val="none"/>
          <w:lang w:eastAsia="zh-CN"/>
        </w:rPr>
      </w:pPr>
      <w:r>
        <w:rPr>
          <w:rFonts w:hint="eastAsia" w:ascii="宋体" w:hAnsi="宋体" w:eastAsia="宋体" w:cs="宋体"/>
          <w:sz w:val="24"/>
          <w:szCs w:val="36"/>
          <w:u w:val="none"/>
        </w:rPr>
        <w:t>GB/T 12105-2017  《电子琴通用技术条件》</w:t>
      </w:r>
      <w:r>
        <w:rPr>
          <w:rFonts w:hint="eastAsia" w:ascii="宋体" w:hAnsi="宋体" w:eastAsia="宋体" w:cs="宋体"/>
          <w:sz w:val="24"/>
          <w:szCs w:val="36"/>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6"/>
          <w:u w:val="none"/>
          <w:lang w:eastAsia="zh-CN"/>
        </w:rPr>
      </w:pPr>
      <w:r>
        <w:rPr>
          <w:rFonts w:hint="eastAsia" w:ascii="宋体" w:hAnsi="宋体" w:eastAsia="宋体" w:cs="宋体"/>
          <w:sz w:val="24"/>
          <w:szCs w:val="36"/>
          <w:u w:val="none"/>
        </w:rPr>
        <w:t>QB/T 1477-2012《电子钢琴》</w:t>
      </w:r>
      <w:r>
        <w:rPr>
          <w:rFonts w:hint="eastAsia" w:ascii="宋体" w:hAnsi="宋体" w:eastAsia="宋体" w:cs="宋体"/>
          <w:sz w:val="24"/>
          <w:szCs w:val="36"/>
          <w:u w:val="none"/>
          <w:lang w:eastAsia="zh-CN"/>
        </w:rPr>
        <w:t>。</w:t>
      </w:r>
    </w:p>
    <w:p>
      <w:pPr>
        <w:widowControl/>
        <w:spacing w:before="312" w:beforeLines="100" w:after="156" w:afterLines="50"/>
        <w:jc w:val="left"/>
        <w:outlineLvl w:val="1"/>
        <w:rPr>
          <w:rFonts w:hint="eastAsia" w:ascii="宋体" w:hAnsi="宋体"/>
          <w:b/>
          <w:kern w:val="0"/>
          <w:sz w:val="24"/>
        </w:rPr>
      </w:pPr>
      <w:r>
        <w:rPr>
          <w:rFonts w:hint="eastAsia" w:ascii="宋体" w:hAnsi="宋体"/>
          <w:b/>
          <w:kern w:val="0"/>
          <w:sz w:val="24"/>
        </w:rPr>
        <w:t>6.2  本标准与相关法律、法规、规章、强制性标准不冲突。</w:t>
      </w:r>
    </w:p>
    <w:p>
      <w:pPr>
        <w:spacing w:line="500" w:lineRule="exact"/>
        <w:rPr>
          <w:rFonts w:hint="eastAsia" w:ascii="宋体" w:hAnsi="宋体"/>
          <w:sz w:val="24"/>
        </w:rPr>
      </w:pPr>
      <w:r>
        <w:rPr>
          <w:rFonts w:hint="eastAsia" w:ascii="宋体" w:hAnsi="宋体"/>
          <w:sz w:val="24"/>
        </w:rPr>
        <w:t xml:space="preserve">    无标准低于相关国标、行标和地标等推荐性标准的情况。</w:t>
      </w:r>
    </w:p>
    <w:p>
      <w:pPr>
        <w:widowControl/>
        <w:spacing w:before="312" w:beforeLines="100" w:after="156" w:afterLines="50"/>
        <w:jc w:val="left"/>
        <w:outlineLvl w:val="1"/>
        <w:rPr>
          <w:rFonts w:hint="eastAsia" w:ascii="宋体" w:hAnsi="宋体"/>
          <w:b/>
          <w:kern w:val="0"/>
          <w:sz w:val="24"/>
        </w:rPr>
      </w:pPr>
      <w:r>
        <w:rPr>
          <w:rFonts w:hint="eastAsia" w:ascii="宋体" w:hAnsi="宋体"/>
          <w:b/>
          <w:kern w:val="0"/>
          <w:sz w:val="24"/>
        </w:rPr>
        <w:t>6.3  本标准引用了以下文件：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GB/T 191</w:t>
      </w:r>
      <w:r>
        <w:rPr>
          <w:rFonts w:hint="eastAsia" w:ascii="宋体" w:hAnsi="宋体" w:eastAsia="宋体" w:cs="宋体"/>
          <w:sz w:val="24"/>
          <w:szCs w:val="24"/>
        </w:rPr>
        <w:t>—</w:t>
      </w:r>
      <w:r>
        <w:rPr>
          <w:rFonts w:hint="eastAsia" w:ascii="宋体" w:hAnsi="宋体" w:eastAsia="宋体" w:cs="宋体"/>
          <w:kern w:val="0"/>
          <w:sz w:val="24"/>
          <w:szCs w:val="24"/>
        </w:rPr>
        <w:t>2008  包装储运图示标志</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GB/T 2828.1</w:t>
      </w:r>
      <w:r>
        <w:rPr>
          <w:rFonts w:hint="eastAsia" w:ascii="宋体" w:hAnsi="宋体" w:eastAsia="宋体" w:cs="宋体"/>
          <w:sz w:val="24"/>
          <w:szCs w:val="24"/>
        </w:rPr>
        <w:t>—</w:t>
      </w:r>
      <w:r>
        <w:rPr>
          <w:rFonts w:hint="eastAsia" w:ascii="宋体" w:hAnsi="宋体" w:eastAsia="宋体" w:cs="宋体"/>
          <w:kern w:val="0"/>
          <w:sz w:val="24"/>
          <w:szCs w:val="24"/>
        </w:rPr>
        <w:t>2012  计数抽样检验程序</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第1部分：按接收质量限（AQL）检索的逐批检验抽样计划</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GB/T 2829</w:t>
      </w:r>
      <w:r>
        <w:rPr>
          <w:rFonts w:hint="eastAsia" w:ascii="宋体" w:hAnsi="宋体" w:eastAsia="宋体" w:cs="宋体"/>
          <w:sz w:val="24"/>
          <w:szCs w:val="24"/>
        </w:rPr>
        <w:t>—</w:t>
      </w:r>
      <w:r>
        <w:rPr>
          <w:rFonts w:hint="eastAsia" w:ascii="宋体" w:hAnsi="宋体" w:eastAsia="宋体" w:cs="宋体"/>
          <w:kern w:val="0"/>
          <w:sz w:val="24"/>
          <w:szCs w:val="24"/>
        </w:rPr>
        <w:t>2002  周期检验计数抽样程序及表（适用于对过程稳定性的检验）</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GB/T 3451</w:t>
      </w:r>
      <w:r>
        <w:rPr>
          <w:rFonts w:hint="eastAsia" w:ascii="宋体" w:hAnsi="宋体" w:eastAsia="宋体" w:cs="宋体"/>
          <w:sz w:val="24"/>
          <w:szCs w:val="24"/>
        </w:rPr>
        <w:t>—</w:t>
      </w:r>
      <w:r>
        <w:rPr>
          <w:rFonts w:hint="eastAsia" w:ascii="宋体" w:hAnsi="宋体" w:eastAsia="宋体" w:cs="宋体"/>
          <w:kern w:val="0"/>
          <w:sz w:val="24"/>
          <w:szCs w:val="24"/>
        </w:rPr>
        <w:t>1982  标准调音评率</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GB/T 6388</w:t>
      </w:r>
      <w:r>
        <w:rPr>
          <w:rFonts w:hint="eastAsia" w:ascii="宋体" w:hAnsi="宋体" w:eastAsia="宋体" w:cs="宋体"/>
          <w:sz w:val="24"/>
          <w:szCs w:val="24"/>
        </w:rPr>
        <w:t>—</w:t>
      </w:r>
      <w:r>
        <w:rPr>
          <w:rFonts w:hint="eastAsia" w:ascii="宋体" w:hAnsi="宋体" w:eastAsia="宋体" w:cs="宋体"/>
          <w:kern w:val="0"/>
          <w:sz w:val="24"/>
          <w:szCs w:val="24"/>
        </w:rPr>
        <w:t>1986  运输包装收发货标志</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GB 8898</w:t>
      </w:r>
      <w:r>
        <w:rPr>
          <w:rFonts w:hint="eastAsia" w:ascii="宋体" w:hAnsi="宋体" w:eastAsia="宋体" w:cs="宋体"/>
          <w:sz w:val="24"/>
          <w:szCs w:val="24"/>
        </w:rPr>
        <w:t>—</w:t>
      </w:r>
      <w:r>
        <w:rPr>
          <w:rFonts w:hint="eastAsia" w:ascii="宋体" w:hAnsi="宋体" w:eastAsia="宋体" w:cs="宋体"/>
          <w:kern w:val="0"/>
          <w:sz w:val="24"/>
          <w:szCs w:val="24"/>
        </w:rPr>
        <w:t>2011  音频、视频及类似电子设备</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安全要求</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GB/T 10159</w:t>
      </w:r>
      <w:r>
        <w:rPr>
          <w:rFonts w:hint="eastAsia" w:ascii="宋体" w:hAnsi="宋体" w:eastAsia="宋体" w:cs="宋体"/>
          <w:sz w:val="24"/>
          <w:szCs w:val="24"/>
        </w:rPr>
        <w:t>—</w:t>
      </w:r>
      <w:r>
        <w:rPr>
          <w:rFonts w:hint="eastAsia" w:ascii="宋体" w:hAnsi="宋体" w:eastAsia="宋体" w:cs="宋体"/>
          <w:kern w:val="0"/>
          <w:sz w:val="24"/>
          <w:szCs w:val="24"/>
        </w:rPr>
        <w:t>2015  钢琴</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GB/T 12105</w:t>
      </w:r>
      <w:r>
        <w:rPr>
          <w:rFonts w:hint="eastAsia" w:ascii="宋体" w:hAnsi="宋体" w:eastAsia="宋体" w:cs="宋体"/>
          <w:sz w:val="24"/>
          <w:szCs w:val="24"/>
        </w:rPr>
        <w:t>—</w:t>
      </w:r>
      <w:r>
        <w:rPr>
          <w:rFonts w:hint="eastAsia" w:ascii="宋体" w:hAnsi="宋体" w:eastAsia="宋体" w:cs="宋体"/>
          <w:kern w:val="0"/>
          <w:sz w:val="24"/>
          <w:szCs w:val="24"/>
        </w:rPr>
        <w:t>2017  电子琴通用技术条件</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GB/T 12106</w:t>
      </w:r>
      <w:r>
        <w:rPr>
          <w:rFonts w:hint="eastAsia" w:ascii="宋体" w:hAnsi="宋体" w:eastAsia="宋体" w:cs="宋体"/>
          <w:sz w:val="24"/>
          <w:szCs w:val="24"/>
        </w:rPr>
        <w:t>—</w:t>
      </w:r>
      <w:r>
        <w:rPr>
          <w:rFonts w:hint="eastAsia" w:ascii="宋体" w:hAnsi="宋体" w:eastAsia="宋体" w:cs="宋体"/>
          <w:kern w:val="0"/>
          <w:sz w:val="24"/>
          <w:szCs w:val="24"/>
        </w:rPr>
        <w:t>2017  电子琴的环境试验要求和试验方法</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GB/T 13837</w:t>
      </w:r>
      <w:r>
        <w:rPr>
          <w:rFonts w:hint="eastAsia" w:ascii="宋体" w:hAnsi="宋体" w:eastAsia="宋体" w:cs="宋体"/>
          <w:sz w:val="24"/>
          <w:szCs w:val="24"/>
        </w:rPr>
        <w:t>—</w:t>
      </w:r>
      <w:r>
        <w:rPr>
          <w:rFonts w:hint="eastAsia" w:ascii="宋体" w:hAnsi="宋体" w:eastAsia="宋体" w:cs="宋体"/>
          <w:kern w:val="0"/>
          <w:sz w:val="24"/>
          <w:szCs w:val="24"/>
        </w:rPr>
        <w:t>2012  声音和电视广播接收机及有关设备</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无线电干扰特性</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限值和测量方法</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GB 17625.1</w:t>
      </w:r>
      <w:r>
        <w:rPr>
          <w:rFonts w:hint="eastAsia" w:ascii="宋体" w:hAnsi="宋体" w:eastAsia="宋体" w:cs="宋体"/>
          <w:sz w:val="24"/>
          <w:szCs w:val="24"/>
        </w:rPr>
        <w:t>—</w:t>
      </w:r>
      <w:r>
        <w:rPr>
          <w:rFonts w:hint="eastAsia" w:ascii="宋体" w:hAnsi="宋体" w:eastAsia="宋体" w:cs="宋体"/>
          <w:kern w:val="0"/>
          <w:sz w:val="24"/>
          <w:szCs w:val="24"/>
        </w:rPr>
        <w:t>2012  电磁兼容 限值 谐波电流发射限值</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(设备每相输入电流≤16A)</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GB/T 28489</w:t>
      </w:r>
      <w:r>
        <w:rPr>
          <w:rFonts w:hint="eastAsia" w:ascii="宋体" w:hAnsi="宋体" w:eastAsia="宋体" w:cs="宋体"/>
          <w:sz w:val="24"/>
          <w:szCs w:val="24"/>
        </w:rPr>
        <w:t>—</w:t>
      </w:r>
      <w:r>
        <w:rPr>
          <w:rFonts w:hint="eastAsia" w:ascii="宋体" w:hAnsi="宋体" w:eastAsia="宋体" w:cs="宋体"/>
          <w:kern w:val="0"/>
          <w:sz w:val="24"/>
          <w:szCs w:val="24"/>
        </w:rPr>
        <w:t>2012  乐器有害物质限量</w:t>
      </w:r>
      <w:r>
        <w:rPr>
          <w:rFonts w:hint="eastAsia" w:ascii="宋体" w:hAnsi="宋体" w:eastAsia="宋体" w:cs="宋体"/>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GB/T 31109</w:t>
      </w:r>
      <w:r>
        <w:rPr>
          <w:rFonts w:hint="eastAsia" w:ascii="宋体" w:hAnsi="宋体" w:eastAsia="宋体" w:cs="宋体"/>
          <w:sz w:val="24"/>
          <w:szCs w:val="24"/>
          <w:highlight w:val="none"/>
        </w:rPr>
        <w:t>—</w:t>
      </w:r>
      <w:r>
        <w:rPr>
          <w:rFonts w:hint="eastAsia" w:ascii="宋体" w:hAnsi="宋体" w:eastAsia="宋体" w:cs="宋体"/>
          <w:kern w:val="0"/>
          <w:sz w:val="24"/>
          <w:szCs w:val="24"/>
          <w:highlight w:val="none"/>
        </w:rPr>
        <w:t>2014  乐器声学品质评价方法</w:t>
      </w:r>
      <w:r>
        <w:rPr>
          <w:rFonts w:hint="eastAsia" w:ascii="宋体" w:hAnsi="宋体" w:eastAsia="宋体" w:cs="宋体"/>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GB/T 31731</w:t>
      </w:r>
      <w:r>
        <w:rPr>
          <w:rFonts w:hint="eastAsia" w:ascii="宋体" w:hAnsi="宋体" w:eastAsia="宋体" w:cs="宋体"/>
          <w:sz w:val="24"/>
          <w:szCs w:val="24"/>
          <w:highlight w:val="none"/>
        </w:rPr>
        <w:t>—</w:t>
      </w:r>
      <w:r>
        <w:rPr>
          <w:rFonts w:hint="eastAsia" w:ascii="宋体" w:hAnsi="宋体" w:eastAsia="宋体" w:cs="宋体"/>
          <w:kern w:val="0"/>
          <w:sz w:val="24"/>
          <w:szCs w:val="24"/>
          <w:highlight w:val="none"/>
        </w:rPr>
        <w:t>2015  废弃乐器回收利用通用技术规范</w:t>
      </w:r>
      <w:r>
        <w:rPr>
          <w:rFonts w:hint="eastAsia" w:ascii="宋体" w:hAnsi="宋体" w:eastAsia="宋体" w:cs="宋体"/>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GB/T 33722</w:t>
      </w:r>
      <w:r>
        <w:rPr>
          <w:rFonts w:hint="eastAsia" w:ascii="宋体" w:hAnsi="宋体" w:eastAsia="宋体" w:cs="宋体"/>
          <w:sz w:val="24"/>
          <w:szCs w:val="24"/>
          <w:highlight w:val="none"/>
        </w:rPr>
        <w:t>—</w:t>
      </w:r>
      <w:r>
        <w:rPr>
          <w:rFonts w:hint="eastAsia" w:ascii="宋体" w:hAnsi="宋体" w:eastAsia="宋体" w:cs="宋体"/>
          <w:kern w:val="0"/>
          <w:sz w:val="24"/>
          <w:szCs w:val="24"/>
          <w:highlight w:val="none"/>
        </w:rPr>
        <w:t>2017  电鸣乐器音色与音乐风格中文通用名称</w:t>
      </w:r>
      <w:r>
        <w:rPr>
          <w:rFonts w:hint="eastAsia" w:ascii="宋体" w:hAnsi="宋体" w:eastAsia="宋体" w:cs="宋体"/>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GB/T 37878</w:t>
      </w:r>
      <w:r>
        <w:rPr>
          <w:rFonts w:hint="eastAsia" w:ascii="宋体" w:hAnsi="宋体" w:eastAsia="宋体" w:cs="宋体"/>
          <w:sz w:val="24"/>
          <w:szCs w:val="24"/>
          <w:highlight w:val="none"/>
        </w:rPr>
        <w:t>—</w:t>
      </w:r>
      <w:r>
        <w:rPr>
          <w:rFonts w:hint="eastAsia" w:ascii="宋体" w:hAnsi="宋体" w:eastAsia="宋体" w:cs="宋体"/>
          <w:kern w:val="0"/>
          <w:sz w:val="24"/>
          <w:szCs w:val="24"/>
          <w:highlight w:val="none"/>
        </w:rPr>
        <w:t>2019  电鸣乐器能耗设计通用技术规范</w:t>
      </w:r>
      <w:r>
        <w:rPr>
          <w:rFonts w:hint="eastAsia" w:ascii="宋体" w:hAnsi="宋体" w:eastAsia="宋体" w:cs="宋体"/>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QB/T 4131</w:t>
      </w:r>
      <w:r>
        <w:rPr>
          <w:rFonts w:hint="eastAsia" w:ascii="宋体" w:hAnsi="宋体" w:eastAsia="宋体" w:cs="宋体"/>
          <w:sz w:val="24"/>
          <w:szCs w:val="24"/>
          <w:highlight w:val="none"/>
        </w:rPr>
        <w:t>—</w:t>
      </w:r>
      <w:r>
        <w:rPr>
          <w:rFonts w:hint="eastAsia" w:ascii="宋体" w:hAnsi="宋体" w:eastAsia="宋体" w:cs="宋体"/>
          <w:kern w:val="0"/>
          <w:sz w:val="24"/>
          <w:szCs w:val="24"/>
          <w:highlight w:val="none"/>
        </w:rPr>
        <w:t>2010  键盘乐器键宽尺寸系列</w:t>
      </w:r>
      <w:r>
        <w:rPr>
          <w:rFonts w:hint="eastAsia" w:ascii="宋体" w:hAnsi="宋体" w:eastAsia="宋体" w:cs="宋体"/>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QB/T 4487</w:t>
      </w:r>
      <w:r>
        <w:rPr>
          <w:rFonts w:hint="eastAsia" w:ascii="宋体" w:hAnsi="宋体" w:eastAsia="宋体" w:cs="宋体"/>
          <w:sz w:val="24"/>
          <w:szCs w:val="24"/>
          <w:highlight w:val="none"/>
        </w:rPr>
        <w:t>—</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013  电鸣乐器电声性能测量方法</w:t>
      </w:r>
      <w:r>
        <w:rPr>
          <w:rFonts w:hint="eastAsia" w:ascii="宋体" w:hAnsi="宋体" w:eastAsia="宋体" w:cs="宋体"/>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微功率短距离无线电发射设备目录和技术要求</w:t>
      </w:r>
      <w:r>
        <w:rPr>
          <w:rFonts w:hint="eastAsia" w:ascii="宋体" w:hAnsi="宋体" w:eastAsia="宋体" w:cs="宋体"/>
          <w:kern w:val="0"/>
          <w:sz w:val="24"/>
          <w:szCs w:val="24"/>
          <w:lang w:eastAsia="zh-CN"/>
        </w:rPr>
        <w:t>。</w:t>
      </w:r>
    </w:p>
    <w:p>
      <w:pPr>
        <w:pStyle w:val="8"/>
        <w:jc w:val="left"/>
        <w:rPr>
          <w:rFonts w:hint="eastAsia" w:ascii="宋体" w:hAnsi="宋体" w:eastAsia="宋体"/>
          <w:b/>
          <w:sz w:val="24"/>
          <w:szCs w:val="24"/>
        </w:rPr>
      </w:pPr>
      <w:r>
        <w:rPr>
          <w:rFonts w:hint="eastAsia" w:ascii="宋体" w:hAnsi="宋体" w:eastAsia="宋体"/>
          <w:b/>
          <w:sz w:val="24"/>
          <w:szCs w:val="24"/>
        </w:rPr>
        <w:t>7  社会效益</w:t>
      </w:r>
    </w:p>
    <w:p>
      <w:pPr>
        <w:spacing w:line="500" w:lineRule="exact"/>
        <w:ind w:firstLine="480" w:firstLineChars="200"/>
        <w:rPr>
          <w:rFonts w:hint="eastAsia" w:ascii="宋体" w:hAnsi="宋体"/>
          <w:color w:val="000000"/>
          <w:sz w:val="24"/>
        </w:rPr>
      </w:pPr>
      <w:r>
        <w:rPr>
          <w:rFonts w:hint="eastAsia" w:ascii="宋体" w:hAnsi="宋体"/>
          <w:color w:val="000000"/>
          <w:sz w:val="24"/>
        </w:rPr>
        <w:t>通过制定</w:t>
      </w:r>
      <w:r>
        <w:rPr>
          <w:rFonts w:hint="eastAsia" w:ascii="宋体" w:hAnsi="宋体"/>
          <w:color w:val="000000"/>
          <w:sz w:val="24"/>
          <w:lang w:val="en-US" w:eastAsia="zh-CN"/>
        </w:rPr>
        <w:t>电子钢琴</w:t>
      </w:r>
      <w:r>
        <w:rPr>
          <w:rFonts w:hint="eastAsia" w:ascii="宋体" w:hAnsi="宋体"/>
          <w:color w:val="000000"/>
          <w:sz w:val="24"/>
        </w:rPr>
        <w:t xml:space="preserve"> “浙江制造”标准，规范浙江省内制造企业</w:t>
      </w:r>
      <w:r>
        <w:rPr>
          <w:rFonts w:hint="eastAsia" w:ascii="宋体" w:hAnsi="宋体"/>
          <w:color w:val="000000"/>
          <w:sz w:val="24"/>
          <w:lang w:val="en-US" w:eastAsia="zh-CN"/>
        </w:rPr>
        <w:t>电子钢琴</w:t>
      </w:r>
      <w:r>
        <w:rPr>
          <w:rFonts w:hint="eastAsia" w:ascii="宋体" w:hAnsi="宋体"/>
          <w:color w:val="000000"/>
          <w:sz w:val="24"/>
        </w:rPr>
        <w:t>生产规则，进一步推动的产品品质，提升“浙江制造”产品市场竞争力和占有率。同时，以标准提升带动企业品牌提升，以品牌提升带动产品品质提升，以品质提升带动产业发展。形成“标准-品质-品牌”的良性循环。</w:t>
      </w:r>
    </w:p>
    <w:p>
      <w:pPr>
        <w:spacing w:line="500" w:lineRule="exact"/>
        <w:ind w:firstLine="480" w:firstLineChars="200"/>
        <w:rPr>
          <w:rFonts w:hint="eastAsia" w:ascii="宋体" w:hAnsi="宋体"/>
          <w:color w:val="000000"/>
          <w:sz w:val="24"/>
        </w:rPr>
      </w:pPr>
      <w:r>
        <w:rPr>
          <w:rFonts w:hint="eastAsia" w:ascii="宋体" w:hAnsi="宋体"/>
          <w:color w:val="000000"/>
          <w:sz w:val="24"/>
        </w:rPr>
        <w:t>通过本标准的制定，还可带动行业内各企业的学习和竞争，可积极鼓励企业引进新设备、新技术、新工艺，通过正确采用原材料，合理调整生产工艺，完善的检测手段，为用户生产出更满意的产品来，同时带动技术进步、品种增多、产品性能提高的竞争局面。</w:t>
      </w:r>
    </w:p>
    <w:p>
      <w:pPr>
        <w:pStyle w:val="8"/>
        <w:jc w:val="left"/>
        <w:rPr>
          <w:rFonts w:hint="eastAsia" w:ascii="宋体" w:hAnsi="宋体" w:eastAsia="宋体"/>
          <w:b/>
          <w:sz w:val="24"/>
          <w:szCs w:val="24"/>
        </w:rPr>
      </w:pPr>
      <w:r>
        <w:rPr>
          <w:rFonts w:hint="eastAsia" w:ascii="宋体" w:hAnsi="宋体" w:eastAsia="宋体"/>
          <w:b/>
          <w:sz w:val="24"/>
          <w:szCs w:val="24"/>
        </w:rPr>
        <w:t>8  重大分歧意见的处理经过和依据</w:t>
      </w:r>
    </w:p>
    <w:p>
      <w:pPr>
        <w:spacing w:line="500" w:lineRule="exact"/>
        <w:ind w:firstLine="465"/>
        <w:rPr>
          <w:rFonts w:hint="eastAsia" w:ascii="宋体" w:hAnsi="宋体"/>
          <w:color w:val="000000"/>
          <w:kern w:val="0"/>
          <w:sz w:val="24"/>
        </w:rPr>
      </w:pPr>
      <w:r>
        <w:rPr>
          <w:rFonts w:hint="eastAsia" w:ascii="宋体" w:hAnsi="宋体"/>
          <w:color w:val="000000"/>
          <w:kern w:val="0"/>
          <w:sz w:val="24"/>
        </w:rPr>
        <w:t>无</w:t>
      </w:r>
    </w:p>
    <w:p>
      <w:pPr>
        <w:pStyle w:val="8"/>
        <w:jc w:val="left"/>
        <w:rPr>
          <w:rFonts w:hint="eastAsia" w:ascii="宋体" w:hAnsi="宋体" w:eastAsia="宋体"/>
          <w:b/>
          <w:sz w:val="24"/>
          <w:szCs w:val="24"/>
        </w:rPr>
      </w:pPr>
      <w:r>
        <w:rPr>
          <w:rFonts w:hint="eastAsia" w:ascii="宋体" w:hAnsi="宋体" w:eastAsia="宋体"/>
          <w:b/>
          <w:sz w:val="24"/>
          <w:szCs w:val="24"/>
        </w:rPr>
        <w:t>9  废止现行相关标准的建议</w:t>
      </w:r>
    </w:p>
    <w:p>
      <w:pPr>
        <w:spacing w:line="500" w:lineRule="exact"/>
        <w:rPr>
          <w:rFonts w:hint="eastAsia" w:ascii="宋体" w:hAnsi="宋体"/>
          <w:color w:val="000000"/>
          <w:kern w:val="0"/>
          <w:sz w:val="24"/>
        </w:rPr>
      </w:pPr>
      <w:r>
        <w:rPr>
          <w:rFonts w:hint="eastAsia" w:ascii="宋体" w:hAnsi="宋体"/>
          <w:color w:val="000000"/>
          <w:kern w:val="0"/>
          <w:sz w:val="24"/>
        </w:rPr>
        <w:t xml:space="preserve">    无</w:t>
      </w:r>
    </w:p>
    <w:p>
      <w:pPr>
        <w:pStyle w:val="8"/>
        <w:jc w:val="left"/>
        <w:rPr>
          <w:rFonts w:hint="eastAsia" w:ascii="宋体" w:hAnsi="宋体" w:eastAsia="宋体"/>
          <w:b/>
          <w:sz w:val="24"/>
          <w:szCs w:val="24"/>
        </w:rPr>
      </w:pPr>
      <w:r>
        <w:rPr>
          <w:rFonts w:hint="eastAsia" w:ascii="宋体" w:hAnsi="宋体" w:eastAsia="宋体"/>
          <w:b/>
          <w:sz w:val="24"/>
          <w:szCs w:val="24"/>
        </w:rPr>
        <w:t>10  提出标准强制实施或推荐实施的建议和理由</w:t>
      </w:r>
    </w:p>
    <w:p>
      <w:pPr>
        <w:spacing w:line="500" w:lineRule="exact"/>
        <w:ind w:firstLine="480"/>
        <w:rPr>
          <w:rFonts w:hint="eastAsia" w:ascii="宋体" w:hAnsi="宋体"/>
          <w:color w:val="000000"/>
          <w:kern w:val="0"/>
          <w:sz w:val="24"/>
        </w:rPr>
      </w:pPr>
      <w:r>
        <w:rPr>
          <w:rFonts w:hint="eastAsia" w:ascii="宋体" w:hAnsi="宋体"/>
          <w:color w:val="000000"/>
          <w:kern w:val="0"/>
          <w:sz w:val="24"/>
        </w:rPr>
        <w:t>本标准为浙江省品牌建设联合会团体标准。</w:t>
      </w:r>
    </w:p>
    <w:p>
      <w:pPr>
        <w:pStyle w:val="8"/>
        <w:jc w:val="left"/>
        <w:rPr>
          <w:rFonts w:hint="eastAsia" w:ascii="宋体" w:hAnsi="宋体" w:eastAsia="宋体"/>
          <w:b/>
          <w:sz w:val="24"/>
          <w:szCs w:val="24"/>
        </w:rPr>
      </w:pPr>
      <w:r>
        <w:rPr>
          <w:rFonts w:hint="eastAsia" w:ascii="宋体" w:hAnsi="宋体" w:eastAsia="宋体"/>
          <w:b/>
          <w:sz w:val="24"/>
          <w:szCs w:val="24"/>
        </w:rPr>
        <w:t>11  贯彻标准的要求和措施建议</w:t>
      </w:r>
    </w:p>
    <w:p>
      <w:pPr>
        <w:spacing w:line="500" w:lineRule="exact"/>
        <w:ind w:firstLine="480" w:firstLineChars="200"/>
        <w:rPr>
          <w:rFonts w:hint="eastAsia" w:ascii="宋体" w:hAnsi="宋体"/>
          <w:sz w:val="24"/>
        </w:rPr>
      </w:pPr>
      <w:r>
        <w:rPr>
          <w:rFonts w:hint="eastAsia" w:ascii="宋体" w:hAnsi="宋体"/>
          <w:sz w:val="24"/>
        </w:rPr>
        <w:t>已批准发布的“浙江制造”标准，文本由</w:t>
      </w:r>
      <w:r>
        <w:rPr>
          <w:rFonts w:hint="eastAsia" w:ascii="宋体" w:hAnsi="宋体"/>
          <w:color w:val="000000"/>
          <w:kern w:val="0"/>
          <w:sz w:val="24"/>
        </w:rPr>
        <w:t>浙江省品牌建设联合会</w:t>
      </w:r>
      <w:r>
        <w:rPr>
          <w:rFonts w:hint="eastAsia" w:ascii="宋体" w:hAnsi="宋体"/>
          <w:sz w:val="24"/>
        </w:rPr>
        <w:t>在官方网站（</w:t>
      </w:r>
      <w:r>
        <w:rPr>
          <w:rFonts w:ascii="宋体" w:hAnsi="宋体"/>
          <w:sz w:val="24"/>
        </w:rPr>
        <w:t>http://www.zhejiangmade.org.cn/</w:t>
      </w:r>
      <w:r>
        <w:rPr>
          <w:rFonts w:hint="eastAsia" w:ascii="宋体" w:hAnsi="宋体"/>
          <w:sz w:val="24"/>
        </w:rPr>
        <w:t>）上全文公布，供社会免费查阅。</w:t>
      </w:r>
    </w:p>
    <w:p>
      <w:pPr>
        <w:spacing w:line="500" w:lineRule="exact"/>
        <w:ind w:firstLine="480" w:firstLineChars="200"/>
        <w:rPr>
          <w:rFonts w:hint="eastAsia" w:ascii="宋体" w:hAnsi="宋体"/>
          <w:sz w:val="24"/>
        </w:rPr>
      </w:pPr>
      <w:r>
        <w:rPr>
          <w:rFonts w:hint="eastAsia" w:ascii="宋体" w:hAnsi="宋体"/>
          <w:sz w:val="24"/>
          <w:lang w:eastAsia="zh-CN"/>
        </w:rPr>
        <w:t>浙江亚迪纳新材料科技股份有限公司</w:t>
      </w:r>
      <w:r>
        <w:rPr>
          <w:rFonts w:hint="eastAsia" w:ascii="宋体" w:hAnsi="宋体"/>
          <w:sz w:val="24"/>
        </w:rPr>
        <w:t>将在企业标准信息公共服务平台（</w:t>
      </w:r>
      <w:r>
        <w:rPr>
          <w:rFonts w:ascii="宋体" w:hAnsi="宋体"/>
          <w:sz w:val="24"/>
        </w:rPr>
        <w:t>http://www.cpbz.gov.cn/</w:t>
      </w:r>
      <w:r>
        <w:rPr>
          <w:rFonts w:hint="eastAsia" w:ascii="宋体" w:hAnsi="宋体"/>
          <w:sz w:val="24"/>
        </w:rPr>
        <w:t>）上自我声明采用本标准，其他采用本标准的单位也应在信息平台上进行自我声明。</w:t>
      </w:r>
    </w:p>
    <w:p>
      <w:pPr>
        <w:pStyle w:val="8"/>
        <w:jc w:val="left"/>
        <w:rPr>
          <w:rFonts w:hint="eastAsia" w:ascii="宋体" w:hAnsi="宋体" w:eastAsia="宋体"/>
          <w:b/>
          <w:sz w:val="24"/>
          <w:szCs w:val="24"/>
        </w:rPr>
      </w:pPr>
      <w:r>
        <w:rPr>
          <w:rFonts w:hint="eastAsia" w:ascii="宋体" w:hAnsi="宋体" w:eastAsia="宋体"/>
          <w:b/>
          <w:sz w:val="24"/>
          <w:szCs w:val="24"/>
        </w:rPr>
        <w:t>12  其他应予说明的事项</w:t>
      </w:r>
    </w:p>
    <w:p>
      <w:pPr>
        <w:spacing w:line="500" w:lineRule="exact"/>
        <w:ind w:firstLine="480"/>
        <w:rPr>
          <w:rFonts w:hint="eastAsia" w:ascii="宋体" w:hAnsi="宋体"/>
          <w:sz w:val="24"/>
        </w:rPr>
      </w:pPr>
      <w:r>
        <w:rPr>
          <w:rFonts w:hint="eastAsia" w:ascii="宋体" w:hAnsi="宋体"/>
          <w:sz w:val="24"/>
        </w:rPr>
        <w:t>无</w:t>
      </w:r>
    </w:p>
    <w:p>
      <w:pPr>
        <w:spacing w:line="500" w:lineRule="exact"/>
        <w:jc w:val="right"/>
        <w:rPr>
          <w:rFonts w:hint="eastAsia" w:ascii="宋体" w:hAnsi="宋体"/>
          <w:sz w:val="24"/>
        </w:rPr>
      </w:pPr>
      <w:r>
        <w:rPr>
          <w:rFonts w:hint="eastAsia" w:ascii="宋体" w:hAnsi="宋体"/>
          <w:sz w:val="24"/>
        </w:rPr>
        <w:t>《</w:t>
      </w:r>
      <w:r>
        <w:rPr>
          <w:rFonts w:hint="eastAsia" w:ascii="宋体" w:hAnsi="宋体"/>
          <w:sz w:val="24"/>
          <w:lang w:val="en-US" w:eastAsia="zh-CN"/>
        </w:rPr>
        <w:t>电子钢琴</w:t>
      </w:r>
      <w:r>
        <w:rPr>
          <w:rFonts w:hint="eastAsia" w:ascii="宋体" w:hAnsi="宋体"/>
          <w:sz w:val="24"/>
        </w:rPr>
        <w:t>》标准研制工作组</w:t>
      </w:r>
    </w:p>
    <w:p>
      <w:pPr>
        <w:spacing w:line="500" w:lineRule="exact"/>
        <w:jc w:val="right"/>
        <w:rPr>
          <w:rFonts w:hint="default" w:ascii="宋体" w:hAnsi="宋体" w:eastAsiaTheme="minorEastAsia"/>
          <w:sz w:val="24"/>
          <w:lang w:val="en-US" w:eastAsia="zh-CN"/>
        </w:rPr>
      </w:pPr>
      <w:r>
        <w:rPr>
          <w:rFonts w:hint="eastAsia" w:ascii="宋体" w:hAnsi="宋体"/>
          <w:sz w:val="24"/>
        </w:rPr>
        <w:t>20</w:t>
      </w:r>
      <w:r>
        <w:rPr>
          <w:rFonts w:hint="eastAsia" w:ascii="宋体" w:hAnsi="宋体"/>
          <w:sz w:val="24"/>
          <w:lang w:val="en-US" w:eastAsia="zh-CN"/>
        </w:rPr>
        <w:t>21</w:t>
      </w:r>
      <w:r>
        <w:rPr>
          <w:rFonts w:hint="eastAsia" w:ascii="宋体" w:hAnsi="宋体"/>
          <w:sz w:val="24"/>
        </w:rPr>
        <w:t>年</w:t>
      </w:r>
      <w:r>
        <w:rPr>
          <w:rFonts w:hint="eastAsia" w:ascii="宋体" w:hAnsi="宋体"/>
          <w:sz w:val="24"/>
          <w:lang w:val="en-US" w:eastAsia="zh-CN"/>
        </w:rPr>
        <w:t>08</w:t>
      </w:r>
      <w:r>
        <w:rPr>
          <w:rFonts w:hint="eastAsia" w:ascii="宋体" w:hAnsi="宋体"/>
          <w:sz w:val="24"/>
        </w:rPr>
        <w:t>月0</w:t>
      </w:r>
      <w:r>
        <w:rPr>
          <w:rFonts w:hint="eastAsia" w:ascii="宋体" w:hAnsi="宋体"/>
          <w:sz w:val="24"/>
          <w:lang w:val="en-US" w:eastAsia="zh-CN"/>
        </w:rPr>
        <w:t>4日</w:t>
      </w:r>
    </w:p>
    <w:p>
      <w:pPr>
        <w:spacing w:line="500" w:lineRule="exact"/>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eastAsia="zh-CN"/>
        </w:rPr>
      </w:pPr>
    </w:p>
    <w:p>
      <w:pPr>
        <w:widowControl/>
        <w:spacing w:before="312" w:beforeLines="100" w:after="156" w:afterLines="50"/>
        <w:jc w:val="left"/>
        <w:outlineLvl w:val="1"/>
        <w:rPr>
          <w:rFonts w:hint="eastAsia" w:ascii="宋体" w:hAnsi="宋体"/>
          <w:b/>
          <w:kern w:val="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6"/>
          <w:u w:val="none"/>
          <w:lang w:eastAsia="zh-CN"/>
        </w:rPr>
      </w:pPr>
    </w:p>
    <w:p>
      <w:pPr>
        <w:spacing w:line="500" w:lineRule="exact"/>
        <w:ind w:firstLine="480" w:firstLineChars="200"/>
        <w:rPr>
          <w:rFonts w:hint="eastAsia" w:ascii="宋体" w:hAnsi="宋体"/>
          <w:sz w:val="24"/>
        </w:rPr>
      </w:pP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line="360" w:lineRule="auto"/>
        <w:jc w:val="left"/>
        <w:textAlignment w:val="auto"/>
        <w:outlineLvl w:val="3"/>
        <w:rPr>
          <w:rFonts w:hint="eastAsia" w:ascii="宋体" w:hAnsi="宋体" w:eastAsia="宋体" w:cs="Times New Roman"/>
          <w:color w:val="000000"/>
          <w:sz w:val="24"/>
          <w:lang w:val="en-US" w:eastAsia="zh-CN"/>
        </w:rPr>
      </w:pP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line="360" w:lineRule="auto"/>
        <w:ind w:leftChars="200"/>
        <w:jc w:val="left"/>
        <w:textAlignment w:val="auto"/>
        <w:outlineLvl w:val="3"/>
        <w:rPr>
          <w:rFonts w:hint="eastAsia" w:ascii="宋体" w:hAnsi="宋体" w:eastAsia="宋体" w:cs="宋体"/>
          <w:color w:val="000000"/>
          <w:sz w:val="24"/>
          <w:szCs w:val="24"/>
          <w:lang w:val="en-US" w:eastAsia="zh-CN"/>
        </w:rPr>
      </w:pPr>
    </w:p>
    <w:p>
      <w:pPr>
        <w:widowControl/>
        <w:numPr>
          <w:ilvl w:val="0"/>
          <w:numId w:val="0"/>
        </w:numPr>
        <w:tabs>
          <w:tab w:val="left" w:pos="420"/>
        </w:tabs>
        <w:spacing w:line="360" w:lineRule="auto"/>
        <w:jc w:val="left"/>
        <w:outlineLvl w:val="3"/>
        <w:rPr>
          <w:rFonts w:hint="eastAsia" w:ascii="宋体" w:hAnsi="宋体" w:cs="仿宋"/>
          <w:b/>
          <w:sz w:val="24"/>
        </w:rPr>
      </w:pPr>
    </w:p>
    <w:p>
      <w:pPr>
        <w:rPr>
          <w:rFonts w:hint="default" w:ascii="宋体" w:hAnsi="宋体"/>
          <w:sz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A3F94"/>
    <w:multiLevelType w:val="singleLevel"/>
    <w:tmpl w:val="948A3F94"/>
    <w:lvl w:ilvl="0" w:tentative="0">
      <w:start w:val="1"/>
      <w:numFmt w:val="bullet"/>
      <w:lvlText w:val=""/>
      <w:lvlJc w:val="left"/>
      <w:pPr>
        <w:ind w:left="420" w:hanging="420"/>
      </w:pPr>
      <w:rPr>
        <w:rFonts w:hint="default" w:ascii="Wingdings" w:hAnsi="Wingdings"/>
      </w:rPr>
    </w:lvl>
  </w:abstractNum>
  <w:abstractNum w:abstractNumId="1">
    <w:nsid w:val="9D098FCD"/>
    <w:multiLevelType w:val="singleLevel"/>
    <w:tmpl w:val="9D098FCD"/>
    <w:lvl w:ilvl="0" w:tentative="0">
      <w:start w:val="1"/>
      <w:numFmt w:val="decimal"/>
      <w:suff w:val="nothing"/>
      <w:lvlText w:val="%1）"/>
      <w:lvlJc w:val="left"/>
    </w:lvl>
  </w:abstractNum>
  <w:abstractNum w:abstractNumId="2">
    <w:nsid w:val="DF47EC2F"/>
    <w:multiLevelType w:val="singleLevel"/>
    <w:tmpl w:val="DF47EC2F"/>
    <w:lvl w:ilvl="0" w:tentative="0">
      <w:start w:val="1"/>
      <w:numFmt w:val="bullet"/>
      <w:lvlText w:val=""/>
      <w:lvlJc w:val="left"/>
      <w:pPr>
        <w:ind w:left="420" w:hanging="420"/>
      </w:pPr>
      <w:rPr>
        <w:rFonts w:hint="default" w:ascii="Wingdings" w:hAnsi="Wingdings"/>
      </w:rPr>
    </w:lvl>
  </w:abstractNum>
  <w:abstractNum w:abstractNumId="3">
    <w:nsid w:val="E8BF8844"/>
    <w:multiLevelType w:val="singleLevel"/>
    <w:tmpl w:val="E8BF8844"/>
    <w:lvl w:ilvl="0" w:tentative="0">
      <w:start w:val="1"/>
      <w:numFmt w:val="bullet"/>
      <w:lvlText w:val=""/>
      <w:lvlJc w:val="left"/>
      <w:pPr>
        <w:ind w:left="420" w:hanging="420"/>
      </w:pPr>
      <w:rPr>
        <w:rFonts w:hint="default" w:ascii="Wingdings" w:hAnsi="Wingdings"/>
      </w:rPr>
    </w:lvl>
  </w:abstractNum>
  <w:abstractNum w:abstractNumId="4">
    <w:nsid w:val="1B57124A"/>
    <w:multiLevelType w:val="multilevel"/>
    <w:tmpl w:val="1B57124A"/>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230D5FCC"/>
    <w:multiLevelType w:val="multilevel"/>
    <w:tmpl w:val="230D5FCC"/>
    <w:lvl w:ilvl="0" w:tentative="0">
      <w:start w:val="1"/>
      <w:numFmt w:val="bullet"/>
      <w:lvlText w:val=""/>
      <w:lvlJc w:val="left"/>
      <w:pPr>
        <w:ind w:left="2100" w:hanging="420"/>
      </w:pPr>
      <w:rPr>
        <w:rFonts w:hint="default" w:ascii="Wingdings" w:hAnsi="Wingdings"/>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6">
    <w:nsid w:val="4B1A6C97"/>
    <w:multiLevelType w:val="multilevel"/>
    <w:tmpl w:val="4B1A6C9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7006CBA4"/>
    <w:multiLevelType w:val="singleLevel"/>
    <w:tmpl w:val="7006CBA4"/>
    <w:lvl w:ilvl="0" w:tentative="0">
      <w:start w:val="1"/>
      <w:numFmt w:val="decimal"/>
      <w:suff w:val="nothing"/>
      <w:lvlText w:val="%1、"/>
      <w:lvlJc w:val="left"/>
    </w:lvl>
  </w:abstractNum>
  <w:num w:numId="1">
    <w:abstractNumId w:val="6"/>
  </w:num>
  <w:num w:numId="2">
    <w:abstractNumId w:val="7"/>
  </w:num>
  <w:num w:numId="3">
    <w:abstractNumId w:val="1"/>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12FD3"/>
    <w:rsid w:val="00BD7A42"/>
    <w:rsid w:val="00E34EB2"/>
    <w:rsid w:val="00FE0DB7"/>
    <w:rsid w:val="013A347A"/>
    <w:rsid w:val="016F70C2"/>
    <w:rsid w:val="01BE5E18"/>
    <w:rsid w:val="01C1739D"/>
    <w:rsid w:val="01C578D8"/>
    <w:rsid w:val="01D573B6"/>
    <w:rsid w:val="02061D4F"/>
    <w:rsid w:val="022B6587"/>
    <w:rsid w:val="024222B0"/>
    <w:rsid w:val="028A2F42"/>
    <w:rsid w:val="03780B4B"/>
    <w:rsid w:val="03860C6E"/>
    <w:rsid w:val="03DC5797"/>
    <w:rsid w:val="03E559D8"/>
    <w:rsid w:val="03F80F89"/>
    <w:rsid w:val="040C171F"/>
    <w:rsid w:val="04147AD1"/>
    <w:rsid w:val="044E6CB8"/>
    <w:rsid w:val="04570511"/>
    <w:rsid w:val="048B0D2F"/>
    <w:rsid w:val="05307EBE"/>
    <w:rsid w:val="057B1D81"/>
    <w:rsid w:val="058C0CA4"/>
    <w:rsid w:val="05947025"/>
    <w:rsid w:val="05A27AAF"/>
    <w:rsid w:val="062F5C9B"/>
    <w:rsid w:val="06396840"/>
    <w:rsid w:val="06545B7E"/>
    <w:rsid w:val="06C27838"/>
    <w:rsid w:val="06EA371D"/>
    <w:rsid w:val="06F108D3"/>
    <w:rsid w:val="074D42B6"/>
    <w:rsid w:val="07DE63C2"/>
    <w:rsid w:val="092A6DC6"/>
    <w:rsid w:val="09360309"/>
    <w:rsid w:val="09BD4DDE"/>
    <w:rsid w:val="0A0E63B6"/>
    <w:rsid w:val="0A4738F6"/>
    <w:rsid w:val="0A6E0FD9"/>
    <w:rsid w:val="0AE64EEB"/>
    <w:rsid w:val="0B166302"/>
    <w:rsid w:val="0B3F46E0"/>
    <w:rsid w:val="0B546131"/>
    <w:rsid w:val="0B8D6A04"/>
    <w:rsid w:val="0B997AB9"/>
    <w:rsid w:val="0BC45706"/>
    <w:rsid w:val="0C6E6353"/>
    <w:rsid w:val="0C9B7394"/>
    <w:rsid w:val="0CD26D35"/>
    <w:rsid w:val="0D0C3AF1"/>
    <w:rsid w:val="0D310CAD"/>
    <w:rsid w:val="0D493BF8"/>
    <w:rsid w:val="0D5C2DD1"/>
    <w:rsid w:val="0D954CAB"/>
    <w:rsid w:val="0DA97579"/>
    <w:rsid w:val="0DE52A78"/>
    <w:rsid w:val="0E5F0D59"/>
    <w:rsid w:val="0E61220A"/>
    <w:rsid w:val="0EF75810"/>
    <w:rsid w:val="0F1B711C"/>
    <w:rsid w:val="0F2966DD"/>
    <w:rsid w:val="0F4A4E22"/>
    <w:rsid w:val="0FA83AA1"/>
    <w:rsid w:val="0FDE3387"/>
    <w:rsid w:val="10F46E4E"/>
    <w:rsid w:val="110E0A6A"/>
    <w:rsid w:val="11190CE4"/>
    <w:rsid w:val="113A482A"/>
    <w:rsid w:val="115E6EDE"/>
    <w:rsid w:val="11A9026D"/>
    <w:rsid w:val="11BC6C79"/>
    <w:rsid w:val="11F404F8"/>
    <w:rsid w:val="12436524"/>
    <w:rsid w:val="12E8200E"/>
    <w:rsid w:val="13107AD1"/>
    <w:rsid w:val="132C25D9"/>
    <w:rsid w:val="13F6413C"/>
    <w:rsid w:val="141337B5"/>
    <w:rsid w:val="14D720C3"/>
    <w:rsid w:val="15430959"/>
    <w:rsid w:val="155E6457"/>
    <w:rsid w:val="159F1D3A"/>
    <w:rsid w:val="16110A84"/>
    <w:rsid w:val="1642463E"/>
    <w:rsid w:val="16A41441"/>
    <w:rsid w:val="16CE1857"/>
    <w:rsid w:val="16D15348"/>
    <w:rsid w:val="175439A2"/>
    <w:rsid w:val="176C4CD7"/>
    <w:rsid w:val="179003E8"/>
    <w:rsid w:val="17DF4FA5"/>
    <w:rsid w:val="17E82A93"/>
    <w:rsid w:val="190F7D75"/>
    <w:rsid w:val="19270507"/>
    <w:rsid w:val="193D7E60"/>
    <w:rsid w:val="19875372"/>
    <w:rsid w:val="19A84E41"/>
    <w:rsid w:val="19B279ED"/>
    <w:rsid w:val="19F71D25"/>
    <w:rsid w:val="1A042806"/>
    <w:rsid w:val="1A3248AA"/>
    <w:rsid w:val="1A760765"/>
    <w:rsid w:val="1A817EE9"/>
    <w:rsid w:val="1AAA31F9"/>
    <w:rsid w:val="1ADF02B1"/>
    <w:rsid w:val="1B3460BC"/>
    <w:rsid w:val="1B3A00FB"/>
    <w:rsid w:val="1B72685C"/>
    <w:rsid w:val="1BB71ACA"/>
    <w:rsid w:val="1BBF09A7"/>
    <w:rsid w:val="1BCA5A88"/>
    <w:rsid w:val="1BCF62A4"/>
    <w:rsid w:val="1C321E8D"/>
    <w:rsid w:val="1C5803F4"/>
    <w:rsid w:val="1C6C592A"/>
    <w:rsid w:val="1C790DAF"/>
    <w:rsid w:val="1CDE2CC5"/>
    <w:rsid w:val="1D5E2159"/>
    <w:rsid w:val="1D945D4E"/>
    <w:rsid w:val="1DA624D1"/>
    <w:rsid w:val="1E0171A5"/>
    <w:rsid w:val="1E0C04CD"/>
    <w:rsid w:val="1E2F0CDE"/>
    <w:rsid w:val="1E3B7C90"/>
    <w:rsid w:val="1F571402"/>
    <w:rsid w:val="1F5F5948"/>
    <w:rsid w:val="1F701752"/>
    <w:rsid w:val="1FEC1B07"/>
    <w:rsid w:val="20286051"/>
    <w:rsid w:val="2038002E"/>
    <w:rsid w:val="205D2125"/>
    <w:rsid w:val="20A15154"/>
    <w:rsid w:val="20C37CB9"/>
    <w:rsid w:val="21084043"/>
    <w:rsid w:val="211E4E98"/>
    <w:rsid w:val="21844373"/>
    <w:rsid w:val="21E1084A"/>
    <w:rsid w:val="22083CF4"/>
    <w:rsid w:val="22EF5DAF"/>
    <w:rsid w:val="236C39E4"/>
    <w:rsid w:val="238B60C9"/>
    <w:rsid w:val="239A4E3B"/>
    <w:rsid w:val="23D77F25"/>
    <w:rsid w:val="23D9087B"/>
    <w:rsid w:val="23E66DE1"/>
    <w:rsid w:val="23F70E54"/>
    <w:rsid w:val="242B175B"/>
    <w:rsid w:val="24886635"/>
    <w:rsid w:val="24967840"/>
    <w:rsid w:val="24B21D0A"/>
    <w:rsid w:val="24D30625"/>
    <w:rsid w:val="24E47531"/>
    <w:rsid w:val="25645F08"/>
    <w:rsid w:val="261129BC"/>
    <w:rsid w:val="26243730"/>
    <w:rsid w:val="26271FD9"/>
    <w:rsid w:val="26510060"/>
    <w:rsid w:val="265F0E80"/>
    <w:rsid w:val="266B384B"/>
    <w:rsid w:val="27AF1FD4"/>
    <w:rsid w:val="27B173FF"/>
    <w:rsid w:val="2860769C"/>
    <w:rsid w:val="28653487"/>
    <w:rsid w:val="28E01F8D"/>
    <w:rsid w:val="292E5AE9"/>
    <w:rsid w:val="298D3713"/>
    <w:rsid w:val="29A04655"/>
    <w:rsid w:val="29C358AD"/>
    <w:rsid w:val="29FA6C35"/>
    <w:rsid w:val="2A436ED2"/>
    <w:rsid w:val="2A615980"/>
    <w:rsid w:val="2AD14791"/>
    <w:rsid w:val="2B167893"/>
    <w:rsid w:val="2B271B30"/>
    <w:rsid w:val="2B6D5EC1"/>
    <w:rsid w:val="2C2065EE"/>
    <w:rsid w:val="2C2E2895"/>
    <w:rsid w:val="2C8511F5"/>
    <w:rsid w:val="2D103CA8"/>
    <w:rsid w:val="2D396319"/>
    <w:rsid w:val="2D58467C"/>
    <w:rsid w:val="2D657624"/>
    <w:rsid w:val="2D6E6C67"/>
    <w:rsid w:val="2DB850D9"/>
    <w:rsid w:val="2DE23DEF"/>
    <w:rsid w:val="2ED207D7"/>
    <w:rsid w:val="2F78353E"/>
    <w:rsid w:val="2FCC29B8"/>
    <w:rsid w:val="302F6D2B"/>
    <w:rsid w:val="30666A93"/>
    <w:rsid w:val="308831DD"/>
    <w:rsid w:val="31081CF6"/>
    <w:rsid w:val="312226A7"/>
    <w:rsid w:val="317267D1"/>
    <w:rsid w:val="31991ADF"/>
    <w:rsid w:val="31CC0409"/>
    <w:rsid w:val="31DB34D8"/>
    <w:rsid w:val="324652FB"/>
    <w:rsid w:val="324C596C"/>
    <w:rsid w:val="32982498"/>
    <w:rsid w:val="329F4851"/>
    <w:rsid w:val="32CE37AB"/>
    <w:rsid w:val="32D5635E"/>
    <w:rsid w:val="32D83D75"/>
    <w:rsid w:val="333D508C"/>
    <w:rsid w:val="334160AE"/>
    <w:rsid w:val="34253008"/>
    <w:rsid w:val="343756A0"/>
    <w:rsid w:val="346F18AE"/>
    <w:rsid w:val="34B205BA"/>
    <w:rsid w:val="34E61305"/>
    <w:rsid w:val="350E608F"/>
    <w:rsid w:val="355F52A4"/>
    <w:rsid w:val="358401E0"/>
    <w:rsid w:val="35945AE1"/>
    <w:rsid w:val="35C363F5"/>
    <w:rsid w:val="366F442F"/>
    <w:rsid w:val="369E1C86"/>
    <w:rsid w:val="36EC6C34"/>
    <w:rsid w:val="373B0AE2"/>
    <w:rsid w:val="37CE6DE1"/>
    <w:rsid w:val="386D460A"/>
    <w:rsid w:val="38E21B26"/>
    <w:rsid w:val="392C0490"/>
    <w:rsid w:val="392C594B"/>
    <w:rsid w:val="3989749C"/>
    <w:rsid w:val="3992490F"/>
    <w:rsid w:val="39951363"/>
    <w:rsid w:val="399C79CF"/>
    <w:rsid w:val="39DF3241"/>
    <w:rsid w:val="39FB0F7C"/>
    <w:rsid w:val="3A240FA2"/>
    <w:rsid w:val="3A3C752A"/>
    <w:rsid w:val="3A4811D5"/>
    <w:rsid w:val="3A9F5D3C"/>
    <w:rsid w:val="3AAB1F60"/>
    <w:rsid w:val="3AB33E8D"/>
    <w:rsid w:val="3AC76FD0"/>
    <w:rsid w:val="3AD27D91"/>
    <w:rsid w:val="3B197AA3"/>
    <w:rsid w:val="3B460605"/>
    <w:rsid w:val="3B644618"/>
    <w:rsid w:val="3B712FD3"/>
    <w:rsid w:val="3B93244F"/>
    <w:rsid w:val="3BB46057"/>
    <w:rsid w:val="3BD91052"/>
    <w:rsid w:val="3C07507D"/>
    <w:rsid w:val="3C0E533D"/>
    <w:rsid w:val="3C4A146B"/>
    <w:rsid w:val="3D1D4AD7"/>
    <w:rsid w:val="3D80259A"/>
    <w:rsid w:val="3D925041"/>
    <w:rsid w:val="3E8D0C27"/>
    <w:rsid w:val="3E9B5A31"/>
    <w:rsid w:val="3ECE499F"/>
    <w:rsid w:val="3F1863E5"/>
    <w:rsid w:val="3F8377F0"/>
    <w:rsid w:val="405A0142"/>
    <w:rsid w:val="40797E9F"/>
    <w:rsid w:val="40803522"/>
    <w:rsid w:val="410134A3"/>
    <w:rsid w:val="41185D21"/>
    <w:rsid w:val="4150619F"/>
    <w:rsid w:val="41696CB4"/>
    <w:rsid w:val="418E181F"/>
    <w:rsid w:val="42BD256C"/>
    <w:rsid w:val="431C1585"/>
    <w:rsid w:val="434A382B"/>
    <w:rsid w:val="435638E2"/>
    <w:rsid w:val="43C73B4F"/>
    <w:rsid w:val="43CB6AE7"/>
    <w:rsid w:val="440664C2"/>
    <w:rsid w:val="44161A56"/>
    <w:rsid w:val="445F69A3"/>
    <w:rsid w:val="44687F37"/>
    <w:rsid w:val="44714CB0"/>
    <w:rsid w:val="44807EF3"/>
    <w:rsid w:val="44E535AE"/>
    <w:rsid w:val="44FE09A3"/>
    <w:rsid w:val="45186DD6"/>
    <w:rsid w:val="458648CD"/>
    <w:rsid w:val="45C37172"/>
    <w:rsid w:val="46305B36"/>
    <w:rsid w:val="46383338"/>
    <w:rsid w:val="465B5B35"/>
    <w:rsid w:val="470B6197"/>
    <w:rsid w:val="473860DD"/>
    <w:rsid w:val="474A582A"/>
    <w:rsid w:val="474B7322"/>
    <w:rsid w:val="47551982"/>
    <w:rsid w:val="477A2A13"/>
    <w:rsid w:val="477D6782"/>
    <w:rsid w:val="47826EE6"/>
    <w:rsid w:val="4786256C"/>
    <w:rsid w:val="47EA009D"/>
    <w:rsid w:val="48656C32"/>
    <w:rsid w:val="489D257E"/>
    <w:rsid w:val="48BF4291"/>
    <w:rsid w:val="48E22A08"/>
    <w:rsid w:val="499D769A"/>
    <w:rsid w:val="49EE1BEF"/>
    <w:rsid w:val="4A576790"/>
    <w:rsid w:val="4A62529D"/>
    <w:rsid w:val="4AC56612"/>
    <w:rsid w:val="4AFC7E45"/>
    <w:rsid w:val="4B346D44"/>
    <w:rsid w:val="4B8F37E1"/>
    <w:rsid w:val="4BD8295E"/>
    <w:rsid w:val="4BE8012C"/>
    <w:rsid w:val="4BF93EC3"/>
    <w:rsid w:val="4CB768EE"/>
    <w:rsid w:val="4D145352"/>
    <w:rsid w:val="4D505AA0"/>
    <w:rsid w:val="4D69412D"/>
    <w:rsid w:val="4D847BB8"/>
    <w:rsid w:val="4DBC48CF"/>
    <w:rsid w:val="4E065354"/>
    <w:rsid w:val="4E295CA2"/>
    <w:rsid w:val="4E514C4E"/>
    <w:rsid w:val="4EC90FE2"/>
    <w:rsid w:val="4F8E1E61"/>
    <w:rsid w:val="4FA2445A"/>
    <w:rsid w:val="4FEA3B84"/>
    <w:rsid w:val="50240BFC"/>
    <w:rsid w:val="50481630"/>
    <w:rsid w:val="50ED6B98"/>
    <w:rsid w:val="513169F2"/>
    <w:rsid w:val="51A84D57"/>
    <w:rsid w:val="51C20775"/>
    <w:rsid w:val="51F35329"/>
    <w:rsid w:val="527C4E76"/>
    <w:rsid w:val="533E4437"/>
    <w:rsid w:val="53867BAC"/>
    <w:rsid w:val="53DE7DD5"/>
    <w:rsid w:val="54027DC9"/>
    <w:rsid w:val="5405083F"/>
    <w:rsid w:val="54CA6499"/>
    <w:rsid w:val="551F3E37"/>
    <w:rsid w:val="557755A9"/>
    <w:rsid w:val="55A67E7F"/>
    <w:rsid w:val="56136878"/>
    <w:rsid w:val="56A41DB1"/>
    <w:rsid w:val="57075E89"/>
    <w:rsid w:val="57831B57"/>
    <w:rsid w:val="57F326F8"/>
    <w:rsid w:val="5814699D"/>
    <w:rsid w:val="588400BE"/>
    <w:rsid w:val="588416D3"/>
    <w:rsid w:val="58897BEE"/>
    <w:rsid w:val="588F45AE"/>
    <w:rsid w:val="58E734C9"/>
    <w:rsid w:val="5918158E"/>
    <w:rsid w:val="59D447CD"/>
    <w:rsid w:val="59ED5DD3"/>
    <w:rsid w:val="5A2F4D11"/>
    <w:rsid w:val="5A78084A"/>
    <w:rsid w:val="5A9D4D0D"/>
    <w:rsid w:val="5AC35C82"/>
    <w:rsid w:val="5AD404BF"/>
    <w:rsid w:val="5B3F3976"/>
    <w:rsid w:val="5B410F5C"/>
    <w:rsid w:val="5BCD05A9"/>
    <w:rsid w:val="5C5E4D20"/>
    <w:rsid w:val="5C935C34"/>
    <w:rsid w:val="5CAE363C"/>
    <w:rsid w:val="5CED71E0"/>
    <w:rsid w:val="5D1476C2"/>
    <w:rsid w:val="5D2A526C"/>
    <w:rsid w:val="5D2F3B48"/>
    <w:rsid w:val="5D7E26DB"/>
    <w:rsid w:val="5DB950CD"/>
    <w:rsid w:val="5E3530E4"/>
    <w:rsid w:val="5E50570E"/>
    <w:rsid w:val="5E5F413A"/>
    <w:rsid w:val="5EB85108"/>
    <w:rsid w:val="603C1725"/>
    <w:rsid w:val="60D35EA2"/>
    <w:rsid w:val="60D477C4"/>
    <w:rsid w:val="611F1C2B"/>
    <w:rsid w:val="612A52BD"/>
    <w:rsid w:val="613F0C20"/>
    <w:rsid w:val="61520F54"/>
    <w:rsid w:val="61B9222F"/>
    <w:rsid w:val="62232824"/>
    <w:rsid w:val="62275DF3"/>
    <w:rsid w:val="624D637D"/>
    <w:rsid w:val="62CB485C"/>
    <w:rsid w:val="63146448"/>
    <w:rsid w:val="63245157"/>
    <w:rsid w:val="63A57A73"/>
    <w:rsid w:val="63FB5095"/>
    <w:rsid w:val="6442041D"/>
    <w:rsid w:val="648757BA"/>
    <w:rsid w:val="64B7140A"/>
    <w:rsid w:val="64BE5272"/>
    <w:rsid w:val="64DC6951"/>
    <w:rsid w:val="64EA383C"/>
    <w:rsid w:val="65A04521"/>
    <w:rsid w:val="65FC7F82"/>
    <w:rsid w:val="66154760"/>
    <w:rsid w:val="662B12CF"/>
    <w:rsid w:val="663B2D83"/>
    <w:rsid w:val="665672BF"/>
    <w:rsid w:val="66637646"/>
    <w:rsid w:val="66BC64A4"/>
    <w:rsid w:val="67014C85"/>
    <w:rsid w:val="6778636C"/>
    <w:rsid w:val="67AB6CD8"/>
    <w:rsid w:val="67E90C99"/>
    <w:rsid w:val="680A264D"/>
    <w:rsid w:val="68210FBE"/>
    <w:rsid w:val="68283058"/>
    <w:rsid w:val="689532A1"/>
    <w:rsid w:val="68BF0F26"/>
    <w:rsid w:val="68D66484"/>
    <w:rsid w:val="690453DB"/>
    <w:rsid w:val="69225960"/>
    <w:rsid w:val="693B3A99"/>
    <w:rsid w:val="69641ABB"/>
    <w:rsid w:val="69CD1455"/>
    <w:rsid w:val="6A2A3B71"/>
    <w:rsid w:val="6A2B1756"/>
    <w:rsid w:val="6B6851A1"/>
    <w:rsid w:val="6CBF2EA5"/>
    <w:rsid w:val="6CEB3C76"/>
    <w:rsid w:val="6DAC2C92"/>
    <w:rsid w:val="6E532B95"/>
    <w:rsid w:val="6ECA372C"/>
    <w:rsid w:val="6EFF4540"/>
    <w:rsid w:val="6F2239C6"/>
    <w:rsid w:val="6F343745"/>
    <w:rsid w:val="6F464632"/>
    <w:rsid w:val="6F5F40B1"/>
    <w:rsid w:val="6F9A145C"/>
    <w:rsid w:val="6FFA0049"/>
    <w:rsid w:val="70125537"/>
    <w:rsid w:val="71965877"/>
    <w:rsid w:val="71C13065"/>
    <w:rsid w:val="72127B19"/>
    <w:rsid w:val="7256519B"/>
    <w:rsid w:val="72905EB6"/>
    <w:rsid w:val="72A16C5A"/>
    <w:rsid w:val="72B06CA2"/>
    <w:rsid w:val="72DA14CC"/>
    <w:rsid w:val="7318419E"/>
    <w:rsid w:val="732F51B0"/>
    <w:rsid w:val="73B90BCA"/>
    <w:rsid w:val="73C54E27"/>
    <w:rsid w:val="73CB71CA"/>
    <w:rsid w:val="740A468E"/>
    <w:rsid w:val="74534831"/>
    <w:rsid w:val="74787D41"/>
    <w:rsid w:val="74927BE2"/>
    <w:rsid w:val="74B24C86"/>
    <w:rsid w:val="74B50A60"/>
    <w:rsid w:val="74F70785"/>
    <w:rsid w:val="75251CF5"/>
    <w:rsid w:val="7562362E"/>
    <w:rsid w:val="756E3611"/>
    <w:rsid w:val="757A6CDD"/>
    <w:rsid w:val="758541CF"/>
    <w:rsid w:val="75917DBB"/>
    <w:rsid w:val="75E6369A"/>
    <w:rsid w:val="760F4CFC"/>
    <w:rsid w:val="766D0B6F"/>
    <w:rsid w:val="76880963"/>
    <w:rsid w:val="76A84536"/>
    <w:rsid w:val="76F27156"/>
    <w:rsid w:val="76FD4786"/>
    <w:rsid w:val="777E0BAE"/>
    <w:rsid w:val="77DE4796"/>
    <w:rsid w:val="77E4442B"/>
    <w:rsid w:val="78341A4D"/>
    <w:rsid w:val="786B0DC3"/>
    <w:rsid w:val="787C2719"/>
    <w:rsid w:val="7977501C"/>
    <w:rsid w:val="7999388D"/>
    <w:rsid w:val="7A2B186B"/>
    <w:rsid w:val="7ABE2950"/>
    <w:rsid w:val="7AC51C2C"/>
    <w:rsid w:val="7AC877D3"/>
    <w:rsid w:val="7ACD009C"/>
    <w:rsid w:val="7AEF39D8"/>
    <w:rsid w:val="7B026FC2"/>
    <w:rsid w:val="7B2B238D"/>
    <w:rsid w:val="7BAA05E8"/>
    <w:rsid w:val="7C3C47FB"/>
    <w:rsid w:val="7C6F103C"/>
    <w:rsid w:val="7CA62D5A"/>
    <w:rsid w:val="7CD2106A"/>
    <w:rsid w:val="7CE80B26"/>
    <w:rsid w:val="7D0259DA"/>
    <w:rsid w:val="7D974E80"/>
    <w:rsid w:val="7DD26CC2"/>
    <w:rsid w:val="7EA2288A"/>
    <w:rsid w:val="7F1344FB"/>
    <w:rsid w:val="7F2D62C2"/>
    <w:rsid w:val="7F464C19"/>
    <w:rsid w:val="7F667A72"/>
    <w:rsid w:val="7F901880"/>
    <w:rsid w:val="7F982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szCs w:val="22"/>
    </w:rPr>
  </w:style>
  <w:style w:type="paragraph" w:customStyle="1" w:styleId="8">
    <w:name w:val="章标题"/>
    <w:next w:val="1"/>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2021-08-04T00:38:00Z</dcterms:created>
  <dc:creator>方璐</dc:creator>
  <cp:lastModifiedBy>方璐</cp:lastModifiedBy>
  <dcterms:modified xsi:type="dcterms:W3CDTF">2021-08-05T01:08:09Z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4977EAFC6BDF46F9AB5EA7059BAC509E</vt:lpwstr>
  </property>
</Properties>
</file>