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right="-71" w:rightChars="-34"/>
        <w:jc w:val="center"/>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平阳县万鹏表面处理有限公司年产6000吨五金件产品项目阶段性</w:t>
      </w:r>
      <w:r>
        <w:rPr>
          <w:rFonts w:hint="eastAsia" w:ascii="仿宋" w:hAnsi="仿宋" w:eastAsia="仿宋" w:cs="仿宋"/>
          <w:b/>
          <w:sz w:val="36"/>
          <w:szCs w:val="36"/>
          <w:highlight w:val="none"/>
          <w:lang w:eastAsia="zh-CN"/>
        </w:rPr>
        <w:t>竣工</w:t>
      </w:r>
      <w:r>
        <w:rPr>
          <w:rFonts w:hint="eastAsia" w:ascii="仿宋" w:hAnsi="仿宋" w:eastAsia="仿宋" w:cs="仿宋"/>
          <w:b/>
          <w:color w:val="auto"/>
          <w:sz w:val="36"/>
          <w:szCs w:val="36"/>
          <w:highlight w:val="none"/>
          <w:lang w:val="en-US" w:eastAsia="zh-CN"/>
        </w:rPr>
        <w:t>及迁建整合提升项目的2F自动</w:t>
      </w:r>
    </w:p>
    <w:p>
      <w:pPr>
        <w:adjustRightInd w:val="0"/>
        <w:snapToGrid w:val="0"/>
        <w:spacing w:line="300" w:lineRule="auto"/>
        <w:ind w:right="-71" w:rightChars="-34"/>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喷漆车间</w:t>
      </w:r>
      <w:r>
        <w:rPr>
          <w:rFonts w:hint="eastAsia" w:ascii="仿宋" w:hAnsi="仿宋" w:eastAsia="仿宋" w:cs="仿宋"/>
          <w:b/>
          <w:sz w:val="36"/>
          <w:szCs w:val="36"/>
          <w:highlight w:val="none"/>
          <w:lang w:eastAsia="zh-CN"/>
        </w:rPr>
        <w:t>竣工</w:t>
      </w:r>
      <w:r>
        <w:rPr>
          <w:rFonts w:hint="eastAsia" w:ascii="仿宋" w:hAnsi="仿宋" w:eastAsia="仿宋" w:cs="仿宋"/>
          <w:b/>
          <w:color w:val="auto"/>
          <w:sz w:val="36"/>
          <w:szCs w:val="36"/>
          <w:highlight w:val="none"/>
        </w:rPr>
        <w:t>环境保护自主验收意见</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2020年</w:t>
      </w:r>
      <w:r>
        <w:rPr>
          <w:rFonts w:hint="eastAsia" w:ascii="仿宋" w:hAnsi="仿宋" w:eastAsia="仿宋" w:cs="仿宋"/>
          <w:color w:val="auto"/>
          <w:sz w:val="30"/>
          <w:szCs w:val="30"/>
          <w:highlight w:val="none"/>
          <w:lang w:val="en-US" w:eastAsia="zh-CN"/>
        </w:rPr>
        <w:t>12</w:t>
      </w:r>
      <w:r>
        <w:rPr>
          <w:rFonts w:hint="eastAsia" w:ascii="仿宋" w:hAnsi="仿宋" w:eastAsia="仿宋" w:cs="仿宋"/>
          <w:color w:val="auto"/>
          <w:sz w:val="30"/>
          <w:szCs w:val="30"/>
          <w:highlight w:val="none"/>
          <w:lang w:eastAsia="zh-CN"/>
        </w:rPr>
        <w:t>月</w:t>
      </w:r>
      <w:r>
        <w:rPr>
          <w:rFonts w:hint="eastAsia" w:ascii="仿宋" w:hAnsi="仿宋" w:eastAsia="仿宋" w:cs="仿宋"/>
          <w:color w:val="auto"/>
          <w:sz w:val="30"/>
          <w:szCs w:val="30"/>
          <w:highlight w:val="none"/>
          <w:lang w:val="en-US" w:eastAsia="zh-CN"/>
        </w:rPr>
        <w:t>13</w:t>
      </w:r>
      <w:r>
        <w:rPr>
          <w:rFonts w:hint="eastAsia" w:ascii="仿宋" w:hAnsi="仿宋" w:eastAsia="仿宋" w:cs="仿宋"/>
          <w:color w:val="auto"/>
          <w:sz w:val="30"/>
          <w:szCs w:val="30"/>
          <w:highlight w:val="none"/>
          <w:lang w:eastAsia="zh-CN"/>
        </w:rPr>
        <w:t>日，平阳县万鹏表面处理有限公司成立验收工作组，进行平阳县万鹏表面处理有限公司年产6000吨五金件产品项目阶段性</w:t>
      </w:r>
      <w:r>
        <w:rPr>
          <w:rFonts w:hint="eastAsia" w:ascii="仿宋" w:hAnsi="仿宋" w:eastAsia="仿宋" w:cs="仿宋"/>
          <w:sz w:val="30"/>
          <w:szCs w:val="30"/>
          <w:highlight w:val="none"/>
          <w:lang w:eastAsia="zh-CN"/>
        </w:rPr>
        <w:t>竣工</w:t>
      </w:r>
      <w:r>
        <w:rPr>
          <w:rFonts w:hint="eastAsia" w:ascii="仿宋" w:hAnsi="仿宋" w:eastAsia="仿宋" w:cs="仿宋"/>
          <w:color w:val="auto"/>
          <w:sz w:val="30"/>
          <w:szCs w:val="30"/>
          <w:highlight w:val="none"/>
          <w:lang w:eastAsia="zh-CN"/>
        </w:rPr>
        <w:t>及迁建整合提升项目的2F自动喷漆车间</w:t>
      </w:r>
      <w:r>
        <w:rPr>
          <w:rFonts w:hint="eastAsia" w:ascii="仿宋" w:hAnsi="仿宋" w:eastAsia="仿宋" w:cs="仿宋"/>
          <w:sz w:val="30"/>
          <w:szCs w:val="30"/>
          <w:highlight w:val="none"/>
          <w:lang w:eastAsia="zh-CN"/>
        </w:rPr>
        <w:t>竣工</w:t>
      </w:r>
      <w:r>
        <w:rPr>
          <w:rFonts w:hint="eastAsia" w:ascii="仿宋" w:hAnsi="仿宋" w:eastAsia="仿宋" w:cs="仿宋"/>
          <w:color w:val="auto"/>
          <w:sz w:val="30"/>
          <w:szCs w:val="30"/>
          <w:highlight w:val="none"/>
          <w:lang w:eastAsia="zh-CN"/>
        </w:rPr>
        <w:t>环境保护自主验收。验收工作组现场检查了项目生产情况和工程环保设施运行情况，审阅了相关材料，听</w:t>
      </w:r>
      <w:r>
        <w:rPr>
          <w:rFonts w:hint="eastAsia" w:ascii="仿宋" w:hAnsi="仿宋" w:eastAsia="仿宋" w:cs="仿宋"/>
          <w:color w:val="auto"/>
          <w:sz w:val="30"/>
          <w:szCs w:val="30"/>
          <w:highlight w:val="none"/>
          <w:lang w:val="en-US" w:eastAsia="zh-CN"/>
        </w:rPr>
        <w:t>取了有关单位的汇报，根据《平阳县万鹏表面处理有限公司年产6000吨五金件产品项目阶段性及迁建整合提升项目的2F自动喷漆车间竣工环境保护验收监测报告》（新鸿HJ综字第2012027号）并对照《建设项目竣工环境保护验收暂行办法》，严格依照国家有关法律法规、建设项目竣工环境保护验收技术指南、项目环境影响报告书和审批部门批复等要求对本项目进行自主验收，提出验收意见如下：</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一、工程建设基本情况</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1、建设地点、规模、主要建设内容</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平阳县万鹏表面处理有限公司位于平阳县宋埠海涂围垦区电镀园区C11地块。项目原设4条全自动电镀生产线、4只手动镀槽；已审批总镀容43064升，其中自动生产线镀槽容量41220升，手动线镀槽容量1844升，自动化率为95.72%。设计年电镀加工卫浴洁具800万件、汽摩配件1000万件。</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现投资建设年产6000吨五金件产品项目，同时对各车间进行改建。将一车间二楼镀硬铬改为镀银工艺并增加超声研磨工艺，二车间二楼除油清洗线移至二车间一楼，二车间二楼喷漆酸洗线移至二车间四楼，二车间三楼电镀车间镀铜改为镀镍、镀铬工艺。改建后共设5条自动生产线、5只手动镀槽，镀铬容量不变，自动容量41627.8升，手动容量1436.2升，自动化率为96.66%，总镀容仍在原核定容量范围内，投产后达到年产6000吨五金件产品的生产规模（原审批年电镀加工800万件卫浴洁具、1000万件汽摩配件变更为年电镀加工3200吨五金件，本改建项目年电镀加工2800吨五金件，合计年产6000吨五金件）。</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另外，原迁建整合提升项目阶段性竣工环保验收（平环验〔2015〕44号）中一车间2F尚未验收的自动喷漆车间现已建设完善，与本项目合并一同验收。</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本项目年生产324天，每天生产9小时，员工110人，其中100人厂区内住宿，厂区内不设食堂。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2、建设过程及环保审批情况</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平阳县万鹏表面处理有限公司于2013年委托编制完成了《平阳县滩涂围垦区C11地块厂房建设项目（平阳县万鹏表面处理有限公司迁建整合提升项目）环境影响报告书》，并于同年通过了原平阳县环境保护局的审批（平环建〔2013〕113号）；2015年委托编制完成了《平阳县滩涂围垦区C11地块厂房建设项目（平阳县万鹏表面处理有限公司迁建整合提升项目）环境影响后评价》，并经原平阳县环境保护局的备案（备案号：2015015）。上述项目于2015年9月通过阶段性竣工环保验收（平环验〔2015〕44号）。该项目已取得排污许可证（证书编号：913303265917675360001P）。</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建设项目于2019年11月委托浙江中蓝环境科技有限公司编制完成了《平阳县万鹏表面处理有限公司年产6000吨五金件产品项目环境影响报告书》，并于2019年12月2日通过了温州市生态环境局的审批（温环平建〔2019〕204号）。</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3、投资情况</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本建设项目实际总投资150万元，其中环保投资30万元，占总投资额的20%。</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4、验收范围</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验收范围为平阳县万鹏表面处理有限公司年产6000吨五金件产品项目及迁建整合提升项目的2F自动喷漆车间。其中年产6000吨五金件产品项目由于一车间二楼镀银工艺、超声研磨工艺并未投产，二车间二楼喷漆酸洗线移至二车间四楼（实际未投产），此次为阶段性竣工环保验收；原迁建整合提升项目中一车间2F尚未验收的自动喷漆车间目前已建设完善，与本项目合并一同验收。验收监测期间，工况符合（阶段性）竣工验收监测要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二、工程变动情况</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经现场调查确认，本项目一车间二楼改建的镀银工艺、超声研磨工艺并未投产，二车间二楼喷漆酸洗线移至二车间四楼（实际未投产）（具体见验收监测报告）。</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其余建设情况与环评内容基本一致。</w:t>
      </w:r>
    </w:p>
    <w:p>
      <w:pPr>
        <w:keepNext w:val="0"/>
        <w:keepLines w:val="0"/>
        <w:pageBreakBefore w:val="0"/>
        <w:widowControl w:val="0"/>
        <w:kinsoku/>
        <w:wordWrap/>
        <w:overflowPunct/>
        <w:topLinePunct w:val="0"/>
        <w:autoSpaceDE/>
        <w:autoSpaceDN/>
        <w:bidi w:val="0"/>
        <w:adjustRightInd w:val="0"/>
        <w:snapToGrid w:val="0"/>
        <w:spacing w:line="520" w:lineRule="exact"/>
        <w:ind w:firstLine="561"/>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三、环境保护设施建设情况</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本次验收项目产生的废水主要为前处理废水、清洗废水、电镀生产废水、废气处理喷淋塔废水</w:t>
      </w:r>
      <w:r>
        <w:rPr>
          <w:rFonts w:hint="eastAsia" w:ascii="仿宋" w:hAnsi="仿宋" w:eastAsia="仿宋" w:cs="仿宋"/>
          <w:color w:val="auto"/>
          <w:sz w:val="30"/>
          <w:szCs w:val="30"/>
          <w:highlight w:val="none"/>
          <w:lang w:val="zh-TW" w:eastAsia="zh-CN"/>
        </w:rPr>
        <w:t>和</w:t>
      </w:r>
      <w:r>
        <w:rPr>
          <w:rFonts w:hint="eastAsia" w:ascii="仿宋" w:hAnsi="仿宋" w:eastAsia="仿宋" w:cs="仿宋"/>
          <w:color w:val="auto"/>
          <w:sz w:val="30"/>
          <w:szCs w:val="30"/>
          <w:highlight w:val="none"/>
          <w:lang w:val="en-US" w:eastAsia="zh-CN"/>
        </w:rPr>
        <w:t>生活污水。</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前处理废水、清洗废水、电镀生产废水和废气处理喷淋塔废水按前处理废水、含镍废水、含铬废水和混排废水进行分质分流接管排入园区废水处理站，经废水处理站处理后纳管至平阳县东海污水处理厂再处理。</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生活污水经化粪池预处理后纳管至平阳县东海污水处理厂再处理。</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本次验收项目产生的废气主要为前处理、镀镍、镀铬、喷漆、烘干、除油和除蜡废气。</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二车间3F前处理、镀镍过程中会产生硫酸雾和氯化氢废气，设有两套综合废气处理设施（一用一备），废气收集后经水喷淋塔处理后高空排放，排气筒高度均为26米。</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二车间3F镀铬过程中会产生铬酸雾废气，废气收集后经水喷淋塔处理后高空排放，排气筒高度为26米。</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一车间2F自动喷漆、烘干（蒸汽集中供热）过程中会产生颗粒物和VOCs，废气收集后经“水喷淋塔+除雾器+UV光解+活性炭吸附”处理后高空排放，排气筒高度为26米。</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除油、除蜡废气收集后通过改造的原含氰废气处理塔（该废气塔已不再处理含氰废气）处理后高空排放，排气筒高度为26米。</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噪声</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本次验收项目</w:t>
      </w:r>
      <w:r>
        <w:rPr>
          <w:rFonts w:hint="eastAsia" w:ascii="仿宋" w:hAnsi="仿宋" w:eastAsia="仿宋" w:cs="仿宋"/>
          <w:color w:val="auto"/>
          <w:sz w:val="30"/>
          <w:szCs w:val="30"/>
          <w:highlight w:val="none"/>
        </w:rPr>
        <w:t>噪声主要来自生产设备运行产生的噪声</w:t>
      </w:r>
      <w:r>
        <w:rPr>
          <w:rFonts w:hint="eastAsia" w:ascii="仿宋" w:hAnsi="仿宋" w:eastAsia="仿宋" w:cs="仿宋"/>
          <w:color w:val="auto"/>
          <w:sz w:val="30"/>
          <w:szCs w:val="30"/>
          <w:highlight w:val="none"/>
          <w:lang w:eastAsia="zh-CN"/>
        </w:rPr>
        <w:t>，采取隔声减震措施</w:t>
      </w:r>
      <w:r>
        <w:rPr>
          <w:rFonts w:hint="eastAsia" w:ascii="仿宋" w:hAnsi="仿宋" w:eastAsia="仿宋" w:cs="仿宋"/>
          <w:color w:val="auto"/>
          <w:sz w:val="30"/>
          <w:szCs w:val="30"/>
          <w:highlight w:val="none"/>
        </w:rPr>
        <w:t>。</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4、固废</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本次验收项目产生的固体废物主要为</w:t>
      </w:r>
      <w:r>
        <w:rPr>
          <w:rFonts w:hint="eastAsia" w:ascii="仿宋" w:hAnsi="仿宋" w:eastAsia="仿宋" w:cs="仿宋"/>
          <w:color w:val="auto"/>
          <w:sz w:val="30"/>
          <w:szCs w:val="30"/>
          <w:highlight w:val="none"/>
          <w:lang w:eastAsia="zh-CN"/>
        </w:rPr>
        <w:t>电镀废渣、废电镀液</w:t>
      </w:r>
      <w:r>
        <w:rPr>
          <w:rFonts w:hint="eastAsia" w:ascii="仿宋" w:hAnsi="仿宋" w:eastAsia="仿宋" w:cs="仿宋"/>
          <w:color w:val="auto"/>
          <w:sz w:val="30"/>
          <w:szCs w:val="30"/>
          <w:highlight w:val="none"/>
        </w:rPr>
        <w:t>、废活性炭</w:t>
      </w:r>
      <w:r>
        <w:rPr>
          <w:rFonts w:hint="eastAsia" w:ascii="仿宋" w:hAnsi="仿宋" w:eastAsia="仿宋" w:cs="仿宋"/>
          <w:color w:val="auto"/>
          <w:sz w:val="30"/>
          <w:szCs w:val="30"/>
          <w:highlight w:val="none"/>
          <w:lang w:eastAsia="zh-CN"/>
        </w:rPr>
        <w:t>、漆渣、废包装容器和</w:t>
      </w:r>
      <w:r>
        <w:rPr>
          <w:rFonts w:hint="eastAsia" w:ascii="仿宋" w:hAnsi="仿宋" w:eastAsia="仿宋" w:cs="仿宋"/>
          <w:color w:val="auto"/>
          <w:sz w:val="30"/>
          <w:szCs w:val="30"/>
          <w:highlight w:val="none"/>
          <w:lang w:val="en-US" w:eastAsia="zh-CN"/>
        </w:rPr>
        <w:t>生活垃圾。其中</w:t>
      </w:r>
      <w:r>
        <w:rPr>
          <w:rFonts w:hint="eastAsia" w:ascii="仿宋" w:hAnsi="仿宋" w:eastAsia="仿宋" w:cs="仿宋"/>
          <w:color w:val="auto"/>
          <w:sz w:val="30"/>
          <w:szCs w:val="30"/>
          <w:highlight w:val="none"/>
          <w:lang w:eastAsia="zh-CN"/>
        </w:rPr>
        <w:t>电镀废渣、废电镀液</w:t>
      </w:r>
      <w:r>
        <w:rPr>
          <w:rFonts w:hint="eastAsia" w:ascii="仿宋" w:hAnsi="仿宋" w:eastAsia="仿宋" w:cs="仿宋"/>
          <w:color w:val="auto"/>
          <w:sz w:val="30"/>
          <w:szCs w:val="30"/>
          <w:highlight w:val="none"/>
        </w:rPr>
        <w:t>、废活性炭</w:t>
      </w:r>
      <w:r>
        <w:rPr>
          <w:rFonts w:hint="eastAsia" w:ascii="仿宋" w:hAnsi="仿宋" w:eastAsia="仿宋" w:cs="仿宋"/>
          <w:color w:val="auto"/>
          <w:sz w:val="30"/>
          <w:szCs w:val="30"/>
          <w:highlight w:val="none"/>
          <w:lang w:eastAsia="zh-CN"/>
        </w:rPr>
        <w:t>、漆渣和废包装容器</w:t>
      </w:r>
      <w:r>
        <w:rPr>
          <w:rFonts w:hint="eastAsia" w:ascii="仿宋" w:hAnsi="仿宋" w:eastAsia="仿宋" w:cs="仿宋"/>
          <w:color w:val="auto"/>
          <w:sz w:val="30"/>
          <w:szCs w:val="30"/>
          <w:highlight w:val="none"/>
          <w:lang w:val="en-US" w:eastAsia="zh-CN"/>
        </w:rPr>
        <w:t>属于危险废物。</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电镀废渣和废电镀液</w:t>
      </w:r>
      <w:r>
        <w:rPr>
          <w:rFonts w:hint="eastAsia" w:ascii="仿宋" w:hAnsi="仿宋" w:eastAsia="仿宋" w:cs="仿宋"/>
          <w:color w:val="auto"/>
          <w:sz w:val="30"/>
          <w:szCs w:val="30"/>
          <w:highlight w:val="none"/>
        </w:rPr>
        <w:t>收集后委托</w:t>
      </w:r>
      <w:r>
        <w:rPr>
          <w:rFonts w:hint="eastAsia" w:ascii="仿宋" w:hAnsi="仿宋" w:eastAsia="仿宋" w:cs="仿宋"/>
          <w:color w:val="auto"/>
          <w:sz w:val="30"/>
          <w:szCs w:val="30"/>
          <w:highlight w:val="none"/>
          <w:lang w:eastAsia="zh-CN"/>
        </w:rPr>
        <w:t>平阳县环源污泥处置有限公司</w:t>
      </w:r>
      <w:r>
        <w:rPr>
          <w:rFonts w:hint="eastAsia" w:ascii="仿宋" w:hAnsi="仿宋" w:eastAsia="仿宋" w:cs="仿宋"/>
          <w:color w:val="auto"/>
          <w:sz w:val="30"/>
          <w:szCs w:val="30"/>
          <w:highlight w:val="none"/>
        </w:rPr>
        <w:t>处置</w:t>
      </w:r>
      <w:r>
        <w:rPr>
          <w:rFonts w:hint="eastAsia" w:ascii="仿宋" w:hAnsi="仿宋" w:eastAsia="仿宋" w:cs="仿宋"/>
          <w:color w:val="auto"/>
          <w:sz w:val="30"/>
          <w:szCs w:val="30"/>
          <w:highlight w:val="none"/>
          <w:lang w:val="en-US" w:eastAsia="zh-CN"/>
        </w:rPr>
        <w:t>，废包装容器</w:t>
      </w:r>
      <w:r>
        <w:rPr>
          <w:rFonts w:hint="eastAsia" w:ascii="仿宋" w:hAnsi="仿宋" w:eastAsia="仿宋" w:cs="仿宋"/>
          <w:color w:val="auto"/>
          <w:sz w:val="30"/>
          <w:szCs w:val="30"/>
          <w:highlight w:val="none"/>
        </w:rPr>
        <w:t>收集后</w:t>
      </w:r>
      <w:r>
        <w:rPr>
          <w:rFonts w:hint="eastAsia" w:ascii="仿宋" w:hAnsi="仿宋" w:eastAsia="仿宋" w:cs="仿宋"/>
          <w:color w:val="auto"/>
          <w:sz w:val="30"/>
          <w:szCs w:val="30"/>
          <w:highlight w:val="none"/>
          <w:lang w:val="en-US" w:eastAsia="zh-CN"/>
        </w:rPr>
        <w:t>委托兰溪自立环保科技有限公司处置，</w:t>
      </w:r>
      <w:r>
        <w:rPr>
          <w:rFonts w:hint="eastAsia" w:ascii="仿宋" w:hAnsi="仿宋" w:eastAsia="仿宋" w:cs="仿宋"/>
          <w:color w:val="auto"/>
          <w:sz w:val="30"/>
          <w:szCs w:val="30"/>
          <w:highlight w:val="none"/>
          <w:lang w:eastAsia="zh-CN"/>
        </w:rPr>
        <w:t>漆渣委托兰溪自立环保科技有限公司处理，</w:t>
      </w:r>
      <w:r>
        <w:rPr>
          <w:rFonts w:hint="eastAsia" w:ascii="仿宋" w:hAnsi="仿宋" w:eastAsia="仿宋" w:cs="仿宋"/>
          <w:color w:val="auto"/>
          <w:sz w:val="30"/>
          <w:szCs w:val="30"/>
          <w:highlight w:val="none"/>
        </w:rPr>
        <w:t>废活性炭</w:t>
      </w:r>
      <w:r>
        <w:rPr>
          <w:rFonts w:hint="eastAsia" w:ascii="仿宋" w:hAnsi="仿宋" w:eastAsia="仿宋" w:cs="仿宋"/>
          <w:color w:val="auto"/>
          <w:sz w:val="30"/>
          <w:szCs w:val="30"/>
          <w:highlight w:val="none"/>
          <w:lang w:val="en-US" w:eastAsia="zh-CN"/>
        </w:rPr>
        <w:t>尚未签订危废处置协议委托有资质单位处置；生活垃圾委托环卫部门定期清运处置。</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5、环境风险防范措施</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本项目已编制突发环已境事件应急预案。</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四、环境保护设施调试效果</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1、废水</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期间监测结果表明，生活污水排放口水质的化学需氧量、五日生化需氧量、动植物油类和悬浮物排放浓度日均值及pH范围均符合《污水综合排放标准》（GB8978-1996）三级标准要求；氨氮和总磷排放浓度日均值均符合《工业企业废水氮、磷污染物间接排放限值》（DB33/887-2013）中排放限值要求；</w:t>
      </w:r>
      <w:r>
        <w:rPr>
          <w:rFonts w:hint="eastAsia" w:ascii="仿宋" w:hAnsi="仿宋" w:eastAsia="仿宋" w:cs="仿宋"/>
          <w:color w:val="auto"/>
          <w:sz w:val="30"/>
          <w:szCs w:val="30"/>
          <w:highlight w:val="none"/>
          <w:lang w:eastAsia="zh-CN"/>
        </w:rPr>
        <w:t>总氮排放浓度符合</w:t>
      </w:r>
      <w:r>
        <w:rPr>
          <w:rFonts w:hint="eastAsia" w:ascii="仿宋" w:hAnsi="仿宋" w:eastAsia="仿宋" w:cs="仿宋"/>
          <w:color w:val="auto"/>
          <w:sz w:val="30"/>
          <w:szCs w:val="30"/>
          <w:highlight w:val="none"/>
          <w:lang w:val="en-US" w:eastAsia="zh-CN"/>
        </w:rPr>
        <w:t>《污水排入城镇下水道水质标准》（GB/T31962—2015）表1    B级排放限值要求。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2、废气</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验收期间监测结果表明，前处理、镀铬和镀镍废气处理后排放的氯化氢、硫酸雾和铬酸雾浓度均符合《电镀污染物排放标准》（GB21900-2008）中表5的新建设施大气污染物排放限值要求。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迁建整合提升项目一楼自动喷漆工序、烘干等废气处理后排放的颗粒物、VOCs、苯系物和乙酸酯类浓度均符合《工业涂装工序大气污染物排放标准》（DB33/2146-2018）表1中大气污染物排放限值要求。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3、噪声</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验收期间监测结果表明，项目厂界东北侧测点的昼间噪声值达到《工业企业厂界环境噪声排放标准》（GB12348-2008）3类标准，东南侧测点的昼间噪声值达到《工业企业厂界环境噪声排放标准》（GB12348-2008）4类标准</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5、工业涂装行业污染整治提升符合性</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sz w:val="30"/>
          <w:szCs w:val="30"/>
          <w:highlight w:val="none"/>
          <w:lang w:val="en-US" w:eastAsia="zh-CN"/>
        </w:rPr>
        <w:t>根据《关于印发工业涂装等企业污染整治提升技术指南的通知》（温环发〔2018〕100号）中的《温州市工业涂装企业污染整治提升技术指南》等文件要求，项目建设基本符合行业污染整治提升要求，对不符合条款继续加以完善提升，要求做到长效管理并持续改进。</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五</w:t>
      </w:r>
      <w:r>
        <w:rPr>
          <w:rFonts w:hint="eastAsia" w:ascii="仿宋" w:hAnsi="仿宋" w:eastAsia="仿宋" w:cs="仿宋"/>
          <w:b/>
          <w:color w:val="auto"/>
          <w:sz w:val="30"/>
          <w:szCs w:val="30"/>
          <w:highlight w:val="none"/>
        </w:rPr>
        <w:t>、验收存在的主要问题及后续要求</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1、依照有关技术规范，完善竣工验收监测报告相关内容和其他资料。及时公开企业环境信息，公示竣工验收监测报告。</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2、进一步落实《浙江省电镀行业污染防治技术指南》、《浙江省电镀行业环境准入指导意见》（浙环发</w:t>
      </w:r>
      <w:r>
        <w:rPr>
          <w:rFonts w:hint="eastAsia" w:ascii="仿宋" w:hAnsi="仿宋" w:eastAsia="仿宋" w:cs="仿宋"/>
          <w:color w:val="auto"/>
          <w:sz w:val="30"/>
          <w:szCs w:val="30"/>
          <w:highlight w:val="none"/>
          <w:lang w:val="en-US" w:eastAsia="zh-CN"/>
        </w:rPr>
        <w:t>〔2016〕</w:t>
      </w:r>
      <w:r>
        <w:rPr>
          <w:rFonts w:hint="eastAsia" w:ascii="仿宋" w:hAnsi="仿宋" w:eastAsia="仿宋" w:cs="仿宋"/>
          <w:kern w:val="2"/>
          <w:sz w:val="30"/>
          <w:szCs w:val="30"/>
          <w:highlight w:val="none"/>
          <w:lang w:val="en-US" w:eastAsia="zh-CN" w:bidi="ar-SA"/>
        </w:rPr>
        <w:t>12号）、《关于进一步加强电镀行业环境污染防治工作的通知》（温环通</w:t>
      </w:r>
      <w:r>
        <w:rPr>
          <w:rFonts w:hint="eastAsia" w:ascii="仿宋" w:hAnsi="仿宋" w:eastAsia="仿宋" w:cs="仿宋"/>
          <w:color w:val="auto"/>
          <w:sz w:val="30"/>
          <w:szCs w:val="30"/>
          <w:highlight w:val="none"/>
          <w:lang w:val="en-US" w:eastAsia="zh-CN"/>
        </w:rPr>
        <w:t>〔2018〕</w:t>
      </w:r>
      <w:r>
        <w:rPr>
          <w:rFonts w:hint="eastAsia" w:ascii="仿宋" w:hAnsi="仿宋" w:eastAsia="仿宋" w:cs="仿宋"/>
          <w:kern w:val="2"/>
          <w:sz w:val="30"/>
          <w:szCs w:val="30"/>
          <w:highlight w:val="none"/>
          <w:lang w:val="en-US" w:eastAsia="zh-CN" w:bidi="ar-SA"/>
        </w:rPr>
        <w:t>6号）有关措施和要求，完善生产线封闭系统，完善废气收集处理系统，减少无组织废气排放；积极实施清洁生产，提高废水重复使用率，减少废水排放总量，做好废水分质分流。屋顶各类废气喷淋塔废水需接入废水管网，喷淋塔水箱需加盖，防止满溢，不得进入雨水管，建议对初期雨水水质进行监控。</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w:t>
      </w:r>
      <w:r>
        <w:rPr>
          <w:rFonts w:hint="eastAsia" w:ascii="仿宋" w:hAnsi="仿宋" w:eastAsia="仿宋" w:cs="仿宋"/>
          <w:color w:val="auto"/>
          <w:sz w:val="30"/>
          <w:szCs w:val="30"/>
          <w:highlight w:val="none"/>
          <w:lang w:val="en-US" w:eastAsia="zh-CN"/>
        </w:rPr>
        <w:t>进一步完善废气处理设施设备标识和操作规程，并做好运行维护工作及台账记录，保持良好的污染物去除效果，确保达标排放</w:t>
      </w:r>
      <w:r>
        <w:rPr>
          <w:rFonts w:hint="eastAsia" w:ascii="仿宋" w:hAnsi="仿宋" w:eastAsia="仿宋" w:cs="仿宋"/>
          <w:kern w:val="2"/>
          <w:sz w:val="30"/>
          <w:szCs w:val="30"/>
          <w:highlight w:val="none"/>
          <w:lang w:val="en-US" w:eastAsia="zh-CN" w:bidi="ar-SA"/>
        </w:rPr>
        <w:t>，规范排放口和检测采样口设置；</w:t>
      </w:r>
      <w:r>
        <w:rPr>
          <w:rFonts w:hint="eastAsia" w:ascii="仿宋" w:hAnsi="仿宋" w:eastAsia="仿宋" w:cs="仿宋"/>
          <w:color w:val="auto"/>
          <w:sz w:val="30"/>
          <w:szCs w:val="30"/>
          <w:highlight w:val="none"/>
          <w:lang w:val="en-US" w:eastAsia="zh-CN"/>
        </w:rPr>
        <w:t>同时定期做好污染物排放的自行监测工作，发现问题及时采取措施，确保污染物达标排放。</w:t>
      </w:r>
    </w:p>
    <w:p>
      <w:pPr>
        <w:keepNext w:val="0"/>
        <w:keepLines w:val="0"/>
        <w:pageBreakBefore w:val="0"/>
        <w:widowControl w:val="0"/>
        <w:tabs>
          <w:tab w:val="left" w:pos="180"/>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4、加强加强车间环境管理，保持车间整洁环境，继续完善各类环保管理制度，各类环保设备要有专人负责管理，将环保责任落实到人。严格按环评内容及批复要求落实生产，若发生重大变化则须另行报批。</w:t>
      </w:r>
    </w:p>
    <w:p>
      <w:pPr>
        <w:pStyle w:val="23"/>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各类工业固废分类暂存，按规定要求合法处置。进一步加强危险废物的管理，规范建设危险暂存场所，各类危废须密闭暂存，建立健全完善的管理台帐和相应制度，并尽快与有资质单位补充签订废活性炭危废处置协议，确保对各类危险废物进行有效的管理及合法处置。</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b/>
          <w:color w:val="auto"/>
          <w:sz w:val="30"/>
          <w:szCs w:val="30"/>
          <w:highlight w:val="none"/>
          <w:shd w:val="clear" w:color="auto" w:fill="auto"/>
        </w:rPr>
      </w:pP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kern w:val="2"/>
          <w:sz w:val="30"/>
          <w:szCs w:val="30"/>
          <w:highlight w:val="none"/>
          <w:lang w:val="zh-CN" w:eastAsia="zh-CN" w:bidi="ar-SA"/>
        </w:rPr>
        <w:t>加强环境风险排查，强化风险防范措施，降低环境风险。</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lang w:eastAsia="zh-CN"/>
        </w:rPr>
        <w:t>六</w:t>
      </w:r>
      <w:r>
        <w:rPr>
          <w:rFonts w:hint="eastAsia" w:ascii="仿宋" w:hAnsi="仿宋" w:eastAsia="仿宋" w:cs="仿宋"/>
          <w:b/>
          <w:color w:val="auto"/>
          <w:sz w:val="30"/>
          <w:szCs w:val="30"/>
          <w:highlight w:val="none"/>
          <w:shd w:val="clear" w:color="auto" w:fill="auto"/>
        </w:rPr>
        <w:t>、验收结论</w:t>
      </w:r>
    </w:p>
    <w:p>
      <w:pPr>
        <w:pStyle w:val="56"/>
        <w:keepNext w:val="0"/>
        <w:keepLines w:val="0"/>
        <w:pageBreakBefore w:val="0"/>
        <w:widowControl w:val="0"/>
        <w:kinsoku/>
        <w:wordWrap/>
        <w:overflowPunct/>
        <w:topLinePunct w:val="0"/>
        <w:autoSpaceDE/>
        <w:autoSpaceDN/>
        <w:bidi w:val="0"/>
        <w:snapToGrid w:val="0"/>
        <w:spacing w:line="520" w:lineRule="exact"/>
        <w:ind w:firstLine="56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经资料查阅和现场核查，平阳县万鹏表面处理有限公司年产6000吨五金件产品项目及迁建整合提升项目的2F自动喷漆车间环评手续齐备，</w:t>
      </w:r>
      <w:r>
        <w:rPr>
          <w:rFonts w:hint="eastAsia" w:ascii="仿宋" w:hAnsi="仿宋" w:eastAsia="仿宋" w:cs="仿宋"/>
          <w:color w:val="auto"/>
          <w:sz w:val="30"/>
          <w:szCs w:val="30"/>
          <w:highlight w:val="none"/>
        </w:rPr>
        <w:t>技术资料齐全，环境保护设施基本建成，</w:t>
      </w:r>
      <w:r>
        <w:rPr>
          <w:rFonts w:hint="eastAsia" w:ascii="仿宋" w:hAnsi="仿宋" w:eastAsia="仿宋" w:cs="仿宋"/>
          <w:kern w:val="2"/>
          <w:sz w:val="30"/>
          <w:szCs w:val="30"/>
          <w:highlight w:val="none"/>
          <w:lang w:val="en-US" w:eastAsia="zh-CN" w:bidi="ar-SA"/>
        </w:rPr>
        <w:t>污染物能达标排放，其防治污染能力总体上适应主体工程的需要，具备环境保护设施正常运转的条件。经审议</w:t>
      </w:r>
      <w:r>
        <w:rPr>
          <w:rFonts w:hint="eastAsia" w:ascii="仿宋" w:hAnsi="仿宋" w:eastAsia="仿宋" w:cs="仿宋"/>
          <w:color w:val="auto"/>
          <w:kern w:val="2"/>
          <w:sz w:val="30"/>
          <w:szCs w:val="30"/>
          <w:highlight w:val="none"/>
          <w:lang w:val="en-US" w:eastAsia="zh-CN" w:bidi="ar-SA"/>
        </w:rPr>
        <w:t>，验收工作组认为须落实并完善废活性炭合法处置手续及</w:t>
      </w:r>
      <w:r>
        <w:rPr>
          <w:rFonts w:hint="eastAsia" w:ascii="仿宋" w:hAnsi="仿宋" w:eastAsia="仿宋" w:cs="仿宋"/>
          <w:kern w:val="2"/>
          <w:sz w:val="30"/>
          <w:szCs w:val="30"/>
          <w:highlight w:val="none"/>
          <w:lang w:val="en-US" w:eastAsia="zh-CN" w:bidi="ar-SA"/>
        </w:rPr>
        <w:t>完成生产线封闭系统</w:t>
      </w:r>
      <w:r>
        <w:rPr>
          <w:rFonts w:hint="eastAsia" w:ascii="仿宋" w:hAnsi="仿宋" w:eastAsia="仿宋" w:cs="仿宋"/>
          <w:color w:val="auto"/>
          <w:kern w:val="2"/>
          <w:sz w:val="30"/>
          <w:szCs w:val="30"/>
          <w:highlight w:val="none"/>
          <w:lang w:val="en-US" w:eastAsia="zh-CN" w:bidi="ar-SA"/>
        </w:rPr>
        <w:t>后，</w:t>
      </w:r>
      <w:r>
        <w:rPr>
          <w:rFonts w:hint="eastAsia" w:ascii="仿宋" w:hAnsi="仿宋" w:eastAsia="仿宋" w:cs="仿宋"/>
          <w:kern w:val="2"/>
          <w:sz w:val="30"/>
          <w:szCs w:val="30"/>
          <w:highlight w:val="none"/>
          <w:lang w:val="en-US" w:eastAsia="zh-CN" w:bidi="ar-SA"/>
        </w:rPr>
        <w:t>同意平阳县万鹏表面处理有限公司年产6000吨五金件产品项目通过阶段性竣工环境保护设施自主验收，迁建整合提升项目的2F自动喷漆车间通过竣工环境保护设施自主验收。</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七、验收人员信息</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验收人员信息详见签到表。</w:t>
      </w: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bCs/>
          <w:color w:val="auto"/>
          <w:sz w:val="30"/>
          <w:szCs w:val="30"/>
          <w:highlight w:val="none"/>
        </w:rPr>
      </w:pPr>
    </w:p>
    <w:p>
      <w:pPr>
        <w:keepNext w:val="0"/>
        <w:keepLines w:val="0"/>
        <w:pageBreakBefore w:val="0"/>
        <w:widowControl w:val="0"/>
        <w:tabs>
          <w:tab w:val="left" w:pos="945"/>
        </w:tabs>
        <w:kinsoku/>
        <w:wordWrap/>
        <w:overflowPunct/>
        <w:topLinePunct w:val="0"/>
        <w:autoSpaceDE/>
        <w:autoSpaceDN/>
        <w:bidi w:val="0"/>
        <w:snapToGrid w:val="0"/>
        <w:spacing w:line="52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验收组成员签字：</w:t>
      </w: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pStyle w:val="88"/>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color w:val="FF0000"/>
          <w:sz w:val="30"/>
          <w:szCs w:val="30"/>
          <w:highlight w:val="none"/>
        </w:rPr>
      </w:pPr>
    </w:p>
    <w:p>
      <w:pPr>
        <w:keepNext w:val="0"/>
        <w:keepLines w:val="0"/>
        <w:pageBreakBefore w:val="0"/>
        <w:widowControl w:val="0"/>
        <w:tabs>
          <w:tab w:val="left" w:pos="945"/>
        </w:tabs>
        <w:kinsoku/>
        <w:wordWrap/>
        <w:overflowPunct/>
        <w:topLinePunct w:val="0"/>
        <w:bidi w:val="0"/>
        <w:snapToGrid w:val="0"/>
        <w:spacing w:line="520" w:lineRule="exact"/>
        <w:ind w:firstLine="602" w:firstLineChars="200"/>
        <w:jc w:val="righ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平阳县万鹏表面处理有限公司</w:t>
      </w:r>
      <w:r>
        <w:rPr>
          <w:rFonts w:hint="eastAsia" w:ascii="仿宋" w:hAnsi="仿宋" w:eastAsia="仿宋" w:cs="仿宋"/>
          <w:b/>
          <w:bCs/>
          <w:color w:val="auto"/>
          <w:sz w:val="30"/>
          <w:szCs w:val="30"/>
          <w:highlight w:val="none"/>
        </w:rPr>
        <w:t>验收工作组</w:t>
      </w:r>
    </w:p>
    <w:p>
      <w:pPr>
        <w:keepNext w:val="0"/>
        <w:keepLines w:val="0"/>
        <w:pageBreakBefore w:val="0"/>
        <w:widowControl w:val="0"/>
        <w:tabs>
          <w:tab w:val="left" w:pos="945"/>
        </w:tabs>
        <w:kinsoku/>
        <w:wordWrap/>
        <w:overflowPunct/>
        <w:topLinePunct w:val="0"/>
        <w:bidi w:val="0"/>
        <w:snapToGrid w:val="0"/>
        <w:spacing w:line="520" w:lineRule="exact"/>
        <w:ind w:firstLine="602" w:firstLineChars="200"/>
        <w:jc w:val="right"/>
        <w:textAlignment w:val="auto"/>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2020年</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lang w:eastAsia="zh-CN"/>
        </w:rPr>
        <w:t>月</w:t>
      </w: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lang w:eastAsia="zh-CN"/>
        </w:rPr>
        <w:t>日</w:t>
      </w:r>
    </w:p>
    <w:p>
      <w:pPr>
        <w:pStyle w:val="83"/>
        <w:spacing w:line="360" w:lineRule="auto"/>
        <w:rPr>
          <w:rFonts w:hint="default" w:ascii="Times New Roman" w:hAnsi="Times New Roman" w:cs="Times New Roman"/>
        </w:rPr>
        <w:sectPr>
          <w:headerReference r:id="rId5" w:type="default"/>
          <w:footerReference r:id="rId6" w:type="default"/>
          <w:footerReference r:id="rId7" w:type="even"/>
          <w:pgSz w:w="11907" w:h="16840"/>
          <w:pgMar w:top="1418" w:right="1701" w:bottom="1418" w:left="1701" w:header="851" w:footer="992" w:gutter="0"/>
          <w:cols w:space="720" w:num="1"/>
          <w:docGrid w:type="lines" w:linePitch="312" w:charSpace="0"/>
        </w:sectPr>
      </w:pPr>
    </w:p>
    <w:p>
      <w:pPr>
        <w:pStyle w:val="83"/>
        <w:spacing w:line="360" w:lineRule="auto"/>
        <w:rPr>
          <w:rFonts w:hint="default" w:ascii="Times New Roman" w:hAnsi="Times New Roman" w:cs="Times New Roman"/>
        </w:rPr>
      </w:pPr>
      <w:r>
        <w:rPr>
          <w:rFonts w:hint="default" w:ascii="Times New Roman" w:hAnsi="Times New Roman" w:cs="Times New Roman"/>
        </w:rPr>
        <w:t xml:space="preserve"> </w:t>
      </w:r>
    </w:p>
    <w:p>
      <w:pPr>
        <w:adjustRightInd w:val="0"/>
        <w:snapToGrid w:val="0"/>
        <w:spacing w:line="360" w:lineRule="auto"/>
        <w:rPr>
          <w:rFonts w:hint="default" w:ascii="Times New Roman" w:hAnsi="Times New Roman" w:cs="Times New Roman"/>
          <w:b/>
          <w:sz w:val="44"/>
        </w:rPr>
      </w:pPr>
    </w:p>
    <w:p>
      <w:pPr>
        <w:adjustRightInd w:val="0"/>
        <w:snapToGrid w:val="0"/>
        <w:spacing w:line="360" w:lineRule="auto"/>
        <w:jc w:val="center"/>
        <w:rPr>
          <w:rFonts w:hint="default" w:ascii="Times New Roman" w:hAnsi="Times New Roman" w:cs="Times New Roman"/>
          <w:b/>
          <w:sz w:val="44"/>
        </w:rPr>
      </w:pPr>
    </w:p>
    <w:p>
      <w:pPr>
        <w:adjustRightInd w:val="0"/>
        <w:snapToGrid w:val="0"/>
        <w:spacing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lang w:val="en-US" w:eastAsia="zh-CN"/>
        </w:rPr>
        <w:t>平阳县万鹏表面处理有限公司年产6000吨五金件产品项目阶段性及迁建整合提升项目（2F自动喷漆车间）</w:t>
      </w:r>
      <w:r>
        <w:rPr>
          <w:rFonts w:hint="default" w:ascii="Times New Roman" w:hAnsi="Times New Roman" w:cs="Times New Roman"/>
          <w:b/>
          <w:sz w:val="36"/>
          <w:szCs w:val="36"/>
        </w:rPr>
        <w:t>竣工环境保护验收监测报告</w:t>
      </w:r>
    </w:p>
    <w:p>
      <w:pPr>
        <w:adjustRightInd w:val="0"/>
        <w:snapToGrid w:val="0"/>
        <w:spacing w:line="360" w:lineRule="auto"/>
        <w:jc w:val="center"/>
        <w:rPr>
          <w:rFonts w:hint="default" w:ascii="Times New Roman" w:hAnsi="Times New Roman" w:eastAsia="楷体_GB2312" w:cs="Times New Roman"/>
          <w:bCs/>
          <w:color w:val="auto"/>
          <w:sz w:val="30"/>
        </w:rPr>
      </w:pPr>
      <w:r>
        <w:rPr>
          <w:rFonts w:hint="default" w:ascii="Times New Roman" w:hAnsi="Times New Roman" w:eastAsia="楷体_GB2312" w:cs="Times New Roman"/>
          <w:bCs/>
          <w:color w:val="auto"/>
          <w:sz w:val="30"/>
        </w:rPr>
        <w:t>新鸿HJ综字第20</w:t>
      </w:r>
      <w:r>
        <w:rPr>
          <w:rFonts w:hint="eastAsia" w:eastAsia="楷体_GB2312" w:cs="Times New Roman"/>
          <w:bCs/>
          <w:color w:val="auto"/>
          <w:sz w:val="30"/>
          <w:lang w:val="en-US" w:eastAsia="zh-CN"/>
        </w:rPr>
        <w:t>12027</w:t>
      </w:r>
      <w:r>
        <w:rPr>
          <w:rFonts w:hint="default" w:ascii="Times New Roman" w:hAnsi="Times New Roman" w:eastAsia="楷体_GB2312" w:cs="Times New Roman"/>
          <w:bCs/>
          <w:color w:val="auto"/>
          <w:sz w:val="30"/>
        </w:rPr>
        <w:t>号</w:t>
      </w:r>
    </w:p>
    <w:p>
      <w:pPr>
        <w:adjustRightInd w:val="0"/>
        <w:snapToGrid w:val="0"/>
        <w:spacing w:line="360" w:lineRule="auto"/>
        <w:jc w:val="center"/>
        <w:rPr>
          <w:rFonts w:hint="default" w:ascii="Times New Roman" w:hAnsi="Times New Roman" w:eastAsia="仿宋_GB2312" w:cs="Times New Roman"/>
          <w:sz w:val="36"/>
          <w:szCs w:val="36"/>
          <w:lang w:eastAsia="zh-CN"/>
        </w:rPr>
      </w:pPr>
    </w:p>
    <w:p>
      <w:pPr>
        <w:spacing w:line="360" w:lineRule="auto"/>
        <w:jc w:val="left"/>
        <w:rPr>
          <w:rFonts w:hint="default" w:ascii="Times New Roman" w:hAnsi="Times New Roman" w:eastAsia="仿宋_GB2312" w:cs="Times New Roman"/>
          <w:sz w:val="36"/>
          <w:szCs w:val="36"/>
        </w:rPr>
      </w:pPr>
    </w:p>
    <w:p>
      <w:pPr>
        <w:spacing w:line="360" w:lineRule="auto"/>
        <w:ind w:firstLine="1440" w:firstLineChars="400"/>
        <w:jc w:val="left"/>
        <w:rPr>
          <w:rFonts w:hint="default" w:ascii="Times New Roman" w:hAnsi="Times New Roman" w:eastAsia="仿宋_GB2312" w:cs="Times New Roman"/>
          <w:color w:val="000000"/>
          <w:sz w:val="36"/>
          <w:szCs w:val="36"/>
          <w:lang w:eastAsia="zh-CN"/>
        </w:rPr>
      </w:pPr>
      <w:r>
        <w:rPr>
          <w:rFonts w:hint="default" w:ascii="Times New Roman" w:hAnsi="Times New Roman" w:eastAsia="仿宋_GB2312" w:cs="Times New Roman"/>
          <w:sz w:val="36"/>
          <w:szCs w:val="36"/>
        </w:rPr>
        <w:t>建设单位：</w:t>
      </w:r>
      <w:r>
        <w:rPr>
          <w:rFonts w:hint="default" w:ascii="Times New Roman" w:hAnsi="Times New Roman" w:eastAsia="仿宋_GB2312" w:cs="Times New Roman"/>
          <w:color w:val="000000"/>
          <w:sz w:val="36"/>
          <w:szCs w:val="36"/>
          <w:lang w:eastAsia="zh-CN"/>
        </w:rPr>
        <w:t>平阳县万鹏表面处理有限公司</w:t>
      </w:r>
    </w:p>
    <w:p>
      <w:pPr>
        <w:spacing w:line="360" w:lineRule="auto"/>
        <w:ind w:firstLine="1440" w:firstLineChars="400"/>
        <w:jc w:val="left"/>
        <w:rPr>
          <w:rFonts w:hint="default" w:ascii="Times New Roman" w:hAnsi="Times New Roman" w:eastAsia="仿宋_GB2312" w:cs="Times New Roman"/>
          <w:color w:val="000000"/>
          <w:sz w:val="36"/>
          <w:szCs w:val="36"/>
        </w:rPr>
      </w:pPr>
      <w:r>
        <w:rPr>
          <w:rFonts w:hint="default" w:ascii="Times New Roman" w:hAnsi="Times New Roman" w:eastAsia="仿宋_GB2312" w:cs="Times New Roman"/>
          <w:color w:val="000000"/>
          <w:sz w:val="36"/>
          <w:szCs w:val="36"/>
        </w:rPr>
        <w:t>编制单位：温州新鸿检测技术有限公司</w:t>
      </w:r>
    </w:p>
    <w:p>
      <w:pPr>
        <w:spacing w:line="360" w:lineRule="auto"/>
        <w:jc w:val="center"/>
        <w:rPr>
          <w:rFonts w:hint="default" w:ascii="Times New Roman" w:hAnsi="Times New Roman" w:eastAsia="楷体_GB2312" w:cs="Times New Roman"/>
          <w:bCs/>
          <w:color w:val="000000"/>
          <w:spacing w:val="20"/>
          <w:sz w:val="32"/>
          <w:szCs w:val="32"/>
        </w:rPr>
        <w:sectPr>
          <w:pgSz w:w="11907" w:h="16840"/>
          <w:pgMar w:top="1418" w:right="1701" w:bottom="1418" w:left="1701" w:header="851" w:footer="992" w:gutter="0"/>
          <w:cols w:space="720" w:num="1"/>
          <w:docGrid w:type="lines" w:linePitch="312" w:charSpace="0"/>
        </w:sectPr>
      </w:pPr>
      <w:r>
        <w:rPr>
          <w:rFonts w:hint="default" w:ascii="Times New Roman" w:hAnsi="Times New Roman" w:eastAsia="楷体_GB2312" w:cs="Times New Roman"/>
          <w:bCs/>
          <w:color w:val="000000"/>
          <w:spacing w:val="20"/>
          <w:sz w:val="32"/>
          <w:szCs w:val="32"/>
        </w:rPr>
        <w:t>2020年</w:t>
      </w:r>
      <w:r>
        <w:rPr>
          <w:rFonts w:hint="default" w:ascii="Times New Roman" w:hAnsi="Times New Roman" w:eastAsia="楷体_GB2312" w:cs="Times New Roman"/>
          <w:bCs/>
          <w:color w:val="000000"/>
          <w:spacing w:val="20"/>
          <w:sz w:val="32"/>
          <w:szCs w:val="32"/>
          <w:lang w:val="en-US" w:eastAsia="zh-CN"/>
        </w:rPr>
        <w:t>12</w:t>
      </w:r>
      <w:r>
        <w:rPr>
          <w:rFonts w:hint="default" w:ascii="Times New Roman" w:hAnsi="Times New Roman" w:eastAsia="楷体_GB2312" w:cs="Times New Roman"/>
          <w:bCs/>
          <w:color w:val="000000"/>
          <w:spacing w:val="20"/>
          <w:sz w:val="32"/>
          <w:szCs w:val="32"/>
        </w:rPr>
        <w:t>月</w:t>
      </w:r>
    </w:p>
    <w:p>
      <w:pPr>
        <w:spacing w:line="360" w:lineRule="auto"/>
        <w:jc w:val="center"/>
        <w:rPr>
          <w:rFonts w:hint="default" w:ascii="Times New Roman" w:hAnsi="Times New Roman" w:cs="Times New Roman"/>
          <w:sz w:val="32"/>
          <w:szCs w:val="32"/>
        </w:rPr>
      </w:pPr>
      <w:r>
        <w:rPr>
          <w:rFonts w:hint="default" w:ascii="Times New Roman" w:hAnsi="Times New Roman" w:eastAsia="楷体_GB2312" w:cs="Times New Roman"/>
          <w:bCs/>
          <w:spacing w:val="60"/>
          <w:sz w:val="32"/>
          <w:szCs w:val="32"/>
        </w:rPr>
        <mc:AlternateContent>
          <mc:Choice Requires="wps">
            <w:drawing>
              <wp:anchor distT="0" distB="0" distL="114300" distR="114300" simplePos="0" relativeHeight="251627520" behindDoc="0" locked="0" layoutInCell="1" allowOverlap="1">
                <wp:simplePos x="0" y="0"/>
                <wp:positionH relativeFrom="column">
                  <wp:posOffset>1553210</wp:posOffset>
                </wp:positionH>
                <wp:positionV relativeFrom="paragraph">
                  <wp:posOffset>6828790</wp:posOffset>
                </wp:positionV>
                <wp:extent cx="3059430" cy="843915"/>
                <wp:effectExtent l="0" t="0" r="0" b="0"/>
                <wp:wrapNone/>
                <wp:docPr id="27" name="矩形 375"/>
                <wp:cNvGraphicFramePr/>
                <a:graphic xmlns:a="http://schemas.openxmlformats.org/drawingml/2006/main">
                  <a:graphicData uri="http://schemas.microsoft.com/office/word/2010/wordprocessingShape">
                    <wps:wsp>
                      <wps:cNvSpPr/>
                      <wps:spPr>
                        <a:xfrm>
                          <a:off x="0" y="0"/>
                          <a:ext cx="3059430" cy="536575"/>
                        </a:xfrm>
                        <a:prstGeom prst="rect">
                          <a:avLst/>
                        </a:prstGeom>
                        <a:noFill/>
                        <a:ln>
                          <a:noFill/>
                        </a:ln>
                        <a:effectLst/>
                      </wps:spPr>
                      <wps:txbx>
                        <w:txbxContent>
                          <w:p>
                            <w:pPr>
                              <w:adjustRightInd w:val="0"/>
                              <w:snapToGrid w:val="0"/>
                              <w:jc w:val="center"/>
                              <w:rPr>
                                <w:rFonts w:ascii="华文行楷" w:eastAsia="华文行楷"/>
                                <w:color w:val="FF0000"/>
                                <w:szCs w:val="21"/>
                              </w:rPr>
                            </w:pPr>
                            <w:r>
                              <w:rPr>
                                <w:rFonts w:hint="eastAsia" w:ascii="华文行楷" w:eastAsia="华文行楷"/>
                                <w:color w:val="FF0000"/>
                                <w:szCs w:val="21"/>
                              </w:rPr>
                              <w:t>仅限于</w:t>
                            </w:r>
                            <w:r>
                              <w:rPr>
                                <w:rFonts w:hint="eastAsia" w:ascii="华文行楷" w:eastAsia="华文行楷"/>
                                <w:color w:val="FF0000"/>
                                <w:szCs w:val="21"/>
                                <w:lang w:eastAsia="zh-CN"/>
                              </w:rPr>
                              <w:t>平阳县万鹏表面处理有限公司年产6000吨五金件产品项目阶段性及迁建整合提升项目（2F自动喷漆车间）</w:t>
                            </w:r>
                            <w:r>
                              <w:rPr>
                                <w:rFonts w:hint="eastAsia" w:ascii="华文行楷" w:eastAsia="华文行楷"/>
                                <w:color w:val="FF0000"/>
                                <w:szCs w:val="21"/>
                              </w:rPr>
                              <w:t>复印无效</w:t>
                            </w:r>
                          </w:p>
                          <w:p/>
                        </w:txbxContent>
                      </wps:txbx>
                      <wps:bodyPr upright="1"/>
                    </wps:wsp>
                  </a:graphicData>
                </a:graphic>
              </wp:anchor>
            </w:drawing>
          </mc:Choice>
          <mc:Fallback>
            <w:pict>
              <v:rect id="矩形 375" o:spid="_x0000_s1026" o:spt="1" style="position:absolute;left:0pt;margin-left:122.3pt;margin-top:537.7pt;height:66.45pt;width:240.9pt;z-index:251627520;mso-width-relative:page;mso-height-relative:page;" filled="f" stroked="f" coordsize="21600,21600" o:gfxdata="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OCvZjd&#10;AAAADQEAAA8AAAAAAAAAAQAgAAAAIgAAAGRycy9kb3ducmV2LnhtbFBLAQIUABQAAAAIAIdO4kCA&#10;taGhqQEAAFIDAAAOAAAAAAAAAAEAIAAAACwBAABkcnMvZTJvRG9jLnhtbFBLBQYAAAAABgAGAFkB&#10;AABHBQAAAAA=&#10;">
                <v:fill on="f" focussize="0,0"/>
                <v:stroke on="f"/>
                <v:imagedata o:title=""/>
                <o:lock v:ext="edit" aspectratio="f"/>
                <v:textbox>
                  <w:txbxContent>
                    <w:p>
                      <w:pPr>
                        <w:adjustRightInd w:val="0"/>
                        <w:snapToGrid w:val="0"/>
                        <w:jc w:val="center"/>
                        <w:rPr>
                          <w:rFonts w:ascii="华文行楷" w:eastAsia="华文行楷"/>
                          <w:color w:val="FF0000"/>
                          <w:szCs w:val="21"/>
                        </w:rPr>
                      </w:pPr>
                      <w:r>
                        <w:rPr>
                          <w:rFonts w:hint="eastAsia" w:ascii="华文行楷" w:eastAsia="华文行楷"/>
                          <w:color w:val="FF0000"/>
                          <w:szCs w:val="21"/>
                        </w:rPr>
                        <w:t>仅限于</w:t>
                      </w:r>
                      <w:r>
                        <w:rPr>
                          <w:rFonts w:hint="eastAsia" w:ascii="华文行楷" w:eastAsia="华文行楷"/>
                          <w:color w:val="FF0000"/>
                          <w:szCs w:val="21"/>
                          <w:lang w:eastAsia="zh-CN"/>
                        </w:rPr>
                        <w:t>平阳县万鹏表面处理有限公司年产6000吨五金件产品项目阶段性及迁建整合提升项目（2F自动喷漆车间）</w:t>
                      </w:r>
                      <w:r>
                        <w:rPr>
                          <w:rFonts w:hint="eastAsia" w:ascii="华文行楷" w:eastAsia="华文行楷"/>
                          <w:color w:val="FF0000"/>
                          <w:szCs w:val="21"/>
                        </w:rPr>
                        <w:t>复印无效</w:t>
                      </w:r>
                    </w:p>
                    <w:p/>
                  </w:txbxContent>
                </v:textbox>
              </v:rect>
            </w:pict>
          </mc:Fallback>
        </mc:AlternateContent>
      </w:r>
    </w:p>
    <w:p>
      <w:pPr>
        <w:spacing w:line="360" w:lineRule="auto"/>
        <w:rPr>
          <w:rFonts w:hint="default" w:ascii="Times New Roman" w:hAnsi="Times New Roman" w:eastAsia="楷体_GB2312" w:cs="Times New Roman"/>
          <w:bCs/>
          <w:sz w:val="32"/>
          <w:szCs w:val="32"/>
        </w:rPr>
        <w:sectPr>
          <w:pgSz w:w="11907" w:h="16840"/>
          <w:pgMar w:top="238" w:right="244" w:bottom="249" w:left="238" w:header="0" w:footer="0" w:gutter="0"/>
          <w:cols w:space="720" w:num="1"/>
          <w:docGrid w:type="lines" w:linePitch="312" w:charSpace="0"/>
        </w:sectPr>
      </w:pPr>
    </w:p>
    <w:p>
      <w:pPr>
        <w:spacing w:line="360" w:lineRule="auto"/>
        <w:jc w:val="center"/>
        <w:rPr>
          <w:rFonts w:hint="default" w:ascii="Times New Roman" w:hAnsi="Times New Roman" w:cs="Times New Roman"/>
          <w:b/>
          <w:sz w:val="52"/>
        </w:rPr>
      </w:pPr>
      <w:bookmarkStart w:id="0" w:name="_Toc12184450"/>
      <w:r>
        <w:rPr>
          <w:rFonts w:hint="default" w:ascii="Times New Roman" w:hAnsi="Times New Roman" w:cs="Times New Roman"/>
          <w:b/>
          <w:sz w:val="52"/>
        </w:rPr>
        <w:t>声   明</w:t>
      </w:r>
    </w:p>
    <w:p>
      <w:pPr>
        <w:spacing w:line="360" w:lineRule="auto"/>
        <w:rPr>
          <w:rFonts w:hint="default" w:ascii="Times New Roman" w:hAnsi="Times New Roman" w:cs="Times New Roman"/>
          <w:sz w:val="44"/>
        </w:rPr>
      </w:pPr>
    </w:p>
    <w:p>
      <w:pPr>
        <w:spacing w:line="360" w:lineRule="auto"/>
        <w:rPr>
          <w:rFonts w:hint="default" w:ascii="Times New Roman" w:hAnsi="Times New Roman" w:cs="Times New Roman"/>
        </w:rPr>
      </w:pPr>
    </w:p>
    <w:p>
      <w:pPr>
        <w:spacing w:line="360" w:lineRule="auto"/>
        <w:ind w:firstLine="560" w:firstLineChars="200"/>
        <w:rPr>
          <w:rFonts w:hint="default" w:ascii="Times New Roman" w:hAnsi="Times New Roman" w:cs="Times New Roman"/>
          <w:sz w:val="28"/>
          <w:szCs w:val="28"/>
        </w:rPr>
      </w:pPr>
      <w:bookmarkStart w:id="1" w:name="_Toc439832574"/>
      <w:bookmarkStart w:id="2" w:name="_Toc303690194"/>
      <w:bookmarkStart w:id="3" w:name="_Toc377628286"/>
      <w:bookmarkStart w:id="4" w:name="_Toc308165934"/>
      <w:bookmarkStart w:id="5" w:name="_Toc377625866"/>
      <w:bookmarkStart w:id="6" w:name="_Toc430613230"/>
      <w:bookmarkStart w:id="7" w:name="_Toc436059291"/>
      <w:bookmarkStart w:id="8" w:name="_Toc366572062"/>
      <w:bookmarkStart w:id="9" w:name="_Toc296672125"/>
      <w:bookmarkStart w:id="10" w:name="_Toc373185214"/>
      <w:bookmarkStart w:id="11" w:name="_Toc306263574"/>
      <w:bookmarkStart w:id="12" w:name="_Toc282708332"/>
      <w:bookmarkStart w:id="13" w:name="_Toc302380080"/>
      <w:bookmarkStart w:id="14" w:name="_Toc377628430"/>
      <w:bookmarkStart w:id="15" w:name="_Toc377925042"/>
      <w:r>
        <w:rPr>
          <w:rFonts w:hint="default" w:ascii="Times New Roman" w:hAnsi="Times New Roman" w:cs="Times New Roman"/>
          <w:sz w:val="28"/>
          <w:szCs w:val="28"/>
        </w:rPr>
        <w:t>1、本报告</w:t>
      </w:r>
      <w:r>
        <w:rPr>
          <w:rFonts w:hint="default" w:ascii="Times New Roman" w:hAnsi="Times New Roman" w:cs="Times New Roman"/>
          <w:color w:val="auto"/>
          <w:sz w:val="28"/>
          <w:szCs w:val="28"/>
        </w:rPr>
        <w:t xml:space="preserve">正文共 </w:t>
      </w:r>
      <w:r>
        <w:rPr>
          <w:rFonts w:hint="eastAsia" w:cs="Times New Roman"/>
          <w:b/>
          <w:bCs/>
          <w:color w:val="auto"/>
          <w:sz w:val="28"/>
          <w:szCs w:val="28"/>
          <w:lang w:eastAsia="zh-CN"/>
        </w:rPr>
        <w:t>伍拾贰</w:t>
      </w:r>
      <w:r>
        <w:rPr>
          <w:rFonts w:hint="default" w:ascii="Times New Roman" w:hAnsi="Times New Roman" w:cs="Times New Roman"/>
          <w:b/>
          <w:color w:val="auto"/>
          <w:sz w:val="28"/>
          <w:szCs w:val="28"/>
        </w:rPr>
        <w:t xml:space="preserve"> </w:t>
      </w:r>
      <w:r>
        <w:rPr>
          <w:rFonts w:hint="default" w:ascii="Times New Roman" w:hAnsi="Times New Roman" w:cs="Times New Roman"/>
          <w:color w:val="auto"/>
          <w:sz w:val="28"/>
          <w:szCs w:val="28"/>
        </w:rPr>
        <w:t xml:space="preserve">页，附件附表共 </w:t>
      </w:r>
      <w:r>
        <w:rPr>
          <w:rFonts w:hint="default" w:ascii="Times New Roman" w:hAnsi="Times New Roman" w:cs="Times New Roman"/>
          <w:b/>
          <w:color w:val="auto"/>
          <w:sz w:val="28"/>
          <w:szCs w:val="28"/>
        </w:rPr>
        <w:t>肆拾</w:t>
      </w:r>
      <w:r>
        <w:rPr>
          <w:rFonts w:hint="eastAsia" w:cs="Times New Roman"/>
          <w:b/>
          <w:color w:val="auto"/>
          <w:sz w:val="28"/>
          <w:szCs w:val="28"/>
          <w:lang w:eastAsia="zh-CN"/>
        </w:rPr>
        <w:t>伍</w:t>
      </w:r>
      <w:r>
        <w:rPr>
          <w:rFonts w:hint="default" w:ascii="Times New Roman" w:hAnsi="Times New Roman" w:cs="Times New Roman"/>
          <w:color w:val="auto"/>
          <w:sz w:val="28"/>
          <w:szCs w:val="28"/>
        </w:rPr>
        <w:t xml:space="preserve"> 页，一式 </w:t>
      </w:r>
      <w:r>
        <w:rPr>
          <w:rFonts w:hint="default" w:ascii="Times New Roman" w:hAnsi="Times New Roman" w:cs="Times New Roman"/>
          <w:b/>
          <w:color w:val="auto"/>
          <w:sz w:val="28"/>
          <w:szCs w:val="28"/>
        </w:rPr>
        <w:t>肆</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份，发出报告与留存报告一致。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560" w:firstLineChars="200"/>
        <w:rPr>
          <w:rFonts w:hint="default" w:ascii="Times New Roman" w:hAnsi="Times New Roman" w:cs="Times New Roman"/>
          <w:sz w:val="28"/>
          <w:szCs w:val="28"/>
        </w:rPr>
      </w:pPr>
      <w:bookmarkStart w:id="16" w:name="_Toc377046112"/>
      <w:bookmarkStart w:id="17" w:name="_Toc281466971"/>
      <w:bookmarkStart w:id="18" w:name="_Toc282674020"/>
      <w:bookmarkStart w:id="19" w:name="_Toc269974104"/>
      <w:bookmarkStart w:id="20" w:name="_Toc376505087"/>
      <w:bookmarkStart w:id="21" w:name="_Toc325439556"/>
      <w:bookmarkStart w:id="22" w:name="_Toc376505279"/>
      <w:bookmarkStart w:id="23" w:name="_Toc384207784"/>
      <w:bookmarkStart w:id="24" w:name="_Toc376518752"/>
      <w:bookmarkStart w:id="25" w:name="_Toc278965749"/>
      <w:bookmarkStart w:id="26" w:name="_Toc325356730"/>
      <w:bookmarkStart w:id="27" w:name="_Toc283036491"/>
      <w:r>
        <w:rPr>
          <w:rFonts w:hint="default" w:ascii="Times New Roman" w:hAnsi="Times New Roman" w:cs="Times New Roman"/>
          <w:sz w:val="28"/>
          <w:szCs w:val="28"/>
        </w:rPr>
        <w:t>2、</w:t>
      </w:r>
      <w:bookmarkEnd w:id="16"/>
      <w:bookmarkEnd w:id="17"/>
      <w:bookmarkEnd w:id="18"/>
      <w:bookmarkEnd w:id="19"/>
      <w:bookmarkEnd w:id="20"/>
      <w:bookmarkEnd w:id="21"/>
      <w:bookmarkEnd w:id="22"/>
      <w:bookmarkEnd w:id="23"/>
      <w:bookmarkEnd w:id="24"/>
      <w:bookmarkEnd w:id="25"/>
      <w:bookmarkEnd w:id="26"/>
      <w:bookmarkEnd w:id="27"/>
      <w:r>
        <w:rPr>
          <w:rFonts w:hint="default" w:ascii="Times New Roman" w:hAnsi="Times New Roman" w:cs="Times New Roman"/>
          <w:sz w:val="28"/>
          <w:szCs w:val="28"/>
        </w:rPr>
        <w:t>本报告无本公司、建设单位公章、骑缝章无效。</w:t>
      </w:r>
    </w:p>
    <w:p>
      <w:pPr>
        <w:spacing w:line="360" w:lineRule="auto"/>
        <w:ind w:firstLine="560" w:firstLineChars="200"/>
        <w:rPr>
          <w:rFonts w:hint="default" w:ascii="Times New Roman" w:hAnsi="Times New Roman" w:cs="Times New Roman"/>
          <w:sz w:val="28"/>
          <w:szCs w:val="28"/>
        </w:rPr>
      </w:pPr>
      <w:bookmarkStart w:id="28" w:name="_Toc281466972"/>
      <w:bookmarkStart w:id="29" w:name="_Toc384207785"/>
      <w:bookmarkStart w:id="30" w:name="_Toc376518753"/>
      <w:bookmarkStart w:id="31" w:name="_Toc278965750"/>
      <w:bookmarkStart w:id="32" w:name="_Toc283036492"/>
      <w:bookmarkStart w:id="33" w:name="_Toc325439557"/>
      <w:bookmarkStart w:id="34" w:name="_Toc269974105"/>
      <w:bookmarkStart w:id="35" w:name="_Toc325356731"/>
      <w:bookmarkStart w:id="36" w:name="_Toc282674021"/>
      <w:bookmarkStart w:id="37" w:name="_Toc376505280"/>
      <w:bookmarkStart w:id="38" w:name="_Toc376505088"/>
      <w:bookmarkStart w:id="39" w:name="_Toc377046113"/>
      <w:r>
        <w:rPr>
          <w:rFonts w:hint="default" w:ascii="Times New Roman" w:hAnsi="Times New Roman" w:cs="Times New Roman"/>
          <w:sz w:val="28"/>
          <w:szCs w:val="28"/>
        </w:rPr>
        <w:t>3、本报告部分复制，或完整复制未加盖本公司检测报告专用章或发生涂改无效。</w:t>
      </w:r>
      <w:bookmarkEnd w:id="28"/>
      <w:bookmarkEnd w:id="29"/>
      <w:bookmarkEnd w:id="30"/>
      <w:bookmarkEnd w:id="31"/>
      <w:bookmarkEnd w:id="32"/>
      <w:bookmarkEnd w:id="33"/>
      <w:bookmarkEnd w:id="34"/>
      <w:bookmarkEnd w:id="35"/>
      <w:bookmarkEnd w:id="36"/>
      <w:bookmarkEnd w:id="37"/>
      <w:bookmarkEnd w:id="38"/>
      <w:bookmarkEnd w:id="39"/>
    </w:p>
    <w:p>
      <w:pPr>
        <w:spacing w:line="360" w:lineRule="auto"/>
        <w:ind w:firstLine="560" w:firstLineChars="200"/>
        <w:rPr>
          <w:rFonts w:hint="default" w:ascii="Times New Roman" w:hAnsi="Times New Roman" w:cs="Times New Roman"/>
          <w:sz w:val="28"/>
          <w:szCs w:val="28"/>
        </w:rPr>
      </w:pPr>
      <w:bookmarkStart w:id="40" w:name="_Toc376518754"/>
      <w:bookmarkStart w:id="41" w:name="_Toc281466973"/>
      <w:bookmarkStart w:id="42" w:name="_Toc283036493"/>
      <w:bookmarkStart w:id="43" w:name="_Toc325356732"/>
      <w:bookmarkStart w:id="44" w:name="_Toc377046114"/>
      <w:bookmarkStart w:id="45" w:name="_Toc282674022"/>
      <w:bookmarkStart w:id="46" w:name="_Toc278965751"/>
      <w:bookmarkStart w:id="47" w:name="_Toc269974106"/>
      <w:bookmarkStart w:id="48" w:name="_Toc376505089"/>
      <w:bookmarkStart w:id="49" w:name="_Toc325439558"/>
      <w:bookmarkStart w:id="50" w:name="_Toc376505281"/>
      <w:bookmarkStart w:id="51" w:name="_Toc384207786"/>
      <w:r>
        <w:rPr>
          <w:rFonts w:hint="default" w:ascii="Times New Roman" w:hAnsi="Times New Roman" w:cs="Times New Roman"/>
          <w:sz w:val="28"/>
          <w:szCs w:val="28"/>
        </w:rPr>
        <w:t>4、本报告未经同意不得用于广告宣传。</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5、留存监测报告保存期六年。</w:t>
      </w:r>
      <w:bookmarkEnd w:id="40"/>
      <w:bookmarkEnd w:id="41"/>
      <w:bookmarkEnd w:id="42"/>
      <w:bookmarkEnd w:id="43"/>
      <w:bookmarkEnd w:id="44"/>
      <w:bookmarkEnd w:id="45"/>
      <w:bookmarkEnd w:id="46"/>
      <w:bookmarkEnd w:id="47"/>
      <w:bookmarkEnd w:id="48"/>
      <w:bookmarkEnd w:id="49"/>
      <w:bookmarkEnd w:id="50"/>
      <w:bookmarkEnd w:id="51"/>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eastAsia="楷体_GB2312" w:cs="Times New Roman"/>
          <w:sz w:val="44"/>
        </w:rPr>
      </w:pPr>
    </w:p>
    <w:p>
      <w:pPr>
        <w:spacing w:line="360" w:lineRule="auto"/>
        <w:rPr>
          <w:rFonts w:hint="default" w:ascii="Times New Roman" w:hAnsi="Times New Roman" w:cs="Times New Roman"/>
          <w:color w:val="000000"/>
          <w:sz w:val="30"/>
        </w:rPr>
      </w:pPr>
    </w:p>
    <w:p>
      <w:pPr>
        <w:spacing w:line="360" w:lineRule="auto"/>
        <w:rPr>
          <w:rFonts w:hint="default" w:ascii="Times New Roman" w:hAnsi="Times New Roman" w:cs="Times New Roman"/>
          <w:color w:val="000000"/>
          <w:sz w:val="30"/>
        </w:rPr>
      </w:pPr>
    </w:p>
    <w:p>
      <w:pPr>
        <w:spacing w:line="360" w:lineRule="auto"/>
        <w:rPr>
          <w:rFonts w:hint="default" w:ascii="Times New Roman" w:hAnsi="Times New Roman" w:cs="Times New Roman"/>
          <w:color w:val="000000"/>
          <w:sz w:val="30"/>
        </w:rPr>
      </w:pPr>
    </w:p>
    <w:p>
      <w:pPr>
        <w:spacing w:line="360" w:lineRule="auto"/>
        <w:rPr>
          <w:rFonts w:hint="default" w:ascii="Times New Roman" w:hAnsi="Times New Roman" w:cs="Times New Roman"/>
          <w:color w:val="000000"/>
          <w:sz w:val="30"/>
        </w:rPr>
      </w:pPr>
    </w:p>
    <w:p>
      <w:pPr>
        <w:spacing w:line="360" w:lineRule="auto"/>
        <w:rPr>
          <w:rFonts w:hint="default" w:ascii="Times New Roman" w:hAnsi="Times New Roman" w:cs="Times New Roman"/>
          <w:color w:val="000000"/>
          <w:sz w:val="30"/>
        </w:rPr>
      </w:pPr>
    </w:p>
    <w:p>
      <w:pPr>
        <w:tabs>
          <w:tab w:val="left" w:pos="1890"/>
        </w:tabs>
        <w:adjustRightInd w:val="0"/>
        <w:snapToGrid w:val="0"/>
        <w:spacing w:line="360" w:lineRule="auto"/>
        <w:ind w:left="420" w:leftChars="200"/>
        <w:rPr>
          <w:rFonts w:hint="default" w:ascii="Times New Roman" w:hAnsi="Times New Roman" w:eastAsia="宋体" w:cs="Times New Roman"/>
          <w:sz w:val="30"/>
          <w:szCs w:val="30"/>
          <w:lang w:eastAsia="zh-CN"/>
        </w:rPr>
      </w:pPr>
      <w:r>
        <w:rPr>
          <w:rFonts w:hint="default" w:ascii="Times New Roman" w:hAnsi="Times New Roman" w:cs="Times New Roman"/>
          <w:spacing w:val="22"/>
          <w:sz w:val="30"/>
          <w:szCs w:val="30"/>
        </w:rPr>
        <w:t>建设单位</w:t>
      </w:r>
      <w:r>
        <w:rPr>
          <w:rFonts w:hint="default" w:ascii="Times New Roman" w:hAnsi="Times New Roman" w:cs="Times New Roman"/>
          <w:sz w:val="30"/>
          <w:szCs w:val="30"/>
        </w:rPr>
        <w:t>：</w:t>
      </w:r>
      <w:r>
        <w:rPr>
          <w:rFonts w:hint="default" w:ascii="Times New Roman" w:hAnsi="Times New Roman" w:cs="Times New Roman"/>
          <w:sz w:val="30"/>
          <w:szCs w:val="30"/>
          <w:lang w:eastAsia="zh-CN"/>
        </w:rPr>
        <w:t>平阳县万鹏表面处理有限公司</w:t>
      </w:r>
    </w:p>
    <w:p>
      <w:pPr>
        <w:adjustRightInd w:val="0"/>
        <w:snapToGrid w:val="0"/>
        <w:spacing w:line="360" w:lineRule="auto"/>
        <w:ind w:left="2140" w:leftChars="200" w:hanging="1720" w:hangingChars="500"/>
        <w:rPr>
          <w:rFonts w:hint="default" w:ascii="Times New Roman" w:hAnsi="Times New Roman" w:eastAsia="宋体" w:cs="Times New Roman"/>
          <w:sz w:val="30"/>
          <w:szCs w:val="30"/>
          <w:lang w:eastAsia="zh-CN"/>
        </w:rPr>
      </w:pPr>
      <w:r>
        <w:rPr>
          <w:rFonts w:hint="default" w:ascii="Times New Roman" w:hAnsi="Times New Roman" w:cs="Times New Roman"/>
          <w:spacing w:val="22"/>
          <w:sz w:val="30"/>
          <w:szCs w:val="30"/>
        </w:rPr>
        <w:t>法人代表</w:t>
      </w:r>
      <w:r>
        <w:rPr>
          <w:rFonts w:hint="default" w:ascii="Times New Roman" w:hAnsi="Times New Roman" w:cs="Times New Roman"/>
          <w:color w:val="000000"/>
          <w:sz w:val="30"/>
          <w:szCs w:val="30"/>
        </w:rPr>
        <w:t>：</w:t>
      </w:r>
      <w:r>
        <w:rPr>
          <w:rFonts w:hint="default" w:ascii="Times New Roman" w:hAnsi="Times New Roman" w:cs="Times New Roman"/>
          <w:sz w:val="30"/>
          <w:szCs w:val="30"/>
          <w:lang w:eastAsia="zh-CN"/>
        </w:rPr>
        <w:t>潘小彪</w:t>
      </w:r>
    </w:p>
    <w:p>
      <w:pPr>
        <w:tabs>
          <w:tab w:val="left" w:pos="1890"/>
        </w:tabs>
        <w:adjustRightInd w:val="0"/>
        <w:snapToGrid w:val="0"/>
        <w:spacing w:line="360" w:lineRule="auto"/>
        <w:ind w:left="420" w:leftChars="200"/>
        <w:rPr>
          <w:rFonts w:hint="default" w:ascii="Times New Roman" w:hAnsi="Times New Roman" w:cs="Times New Roman"/>
          <w:sz w:val="30"/>
          <w:szCs w:val="30"/>
        </w:rPr>
      </w:pPr>
    </w:p>
    <w:p>
      <w:pPr>
        <w:tabs>
          <w:tab w:val="left" w:pos="1890"/>
        </w:tabs>
        <w:adjustRightInd w:val="0"/>
        <w:snapToGrid w:val="0"/>
        <w:spacing w:line="360" w:lineRule="auto"/>
        <w:ind w:left="420" w:leftChars="200"/>
        <w:rPr>
          <w:rFonts w:hint="default" w:ascii="Times New Roman" w:hAnsi="Times New Roman" w:cs="Times New Roman"/>
          <w:sz w:val="30"/>
          <w:szCs w:val="30"/>
        </w:rPr>
      </w:pPr>
    </w:p>
    <w:p>
      <w:pPr>
        <w:tabs>
          <w:tab w:val="left" w:pos="1890"/>
        </w:tabs>
        <w:adjustRightInd w:val="0"/>
        <w:snapToGrid w:val="0"/>
        <w:spacing w:line="360" w:lineRule="auto"/>
        <w:ind w:left="420" w:leftChars="200"/>
        <w:rPr>
          <w:rFonts w:hint="default" w:ascii="Times New Roman" w:hAnsi="Times New Roman" w:cs="Times New Roman"/>
          <w:sz w:val="30"/>
          <w:szCs w:val="30"/>
        </w:rPr>
      </w:pPr>
      <w:r>
        <w:rPr>
          <w:rFonts w:hint="default" w:ascii="Times New Roman" w:hAnsi="Times New Roman" w:cs="Times New Roman"/>
          <w:spacing w:val="22"/>
          <w:sz w:val="30"/>
          <w:szCs w:val="30"/>
        </w:rPr>
        <w:t>编制单位</w:t>
      </w:r>
      <w:r>
        <w:rPr>
          <w:rFonts w:hint="default" w:ascii="Times New Roman" w:hAnsi="Times New Roman" w:cs="Times New Roman"/>
          <w:sz w:val="30"/>
          <w:szCs w:val="30"/>
        </w:rPr>
        <w:t>：温州新鸿检测技术有限公司</w:t>
      </w:r>
    </w:p>
    <w:p>
      <w:pPr>
        <w:tabs>
          <w:tab w:val="left" w:pos="1890"/>
        </w:tabs>
        <w:adjustRightInd w:val="0"/>
        <w:snapToGrid w:val="0"/>
        <w:spacing w:line="360" w:lineRule="auto"/>
        <w:ind w:left="420" w:leftChars="200"/>
        <w:rPr>
          <w:rFonts w:hint="default" w:ascii="Times New Roman" w:hAnsi="Times New Roman" w:cs="Times New Roman"/>
          <w:sz w:val="30"/>
          <w:szCs w:val="30"/>
        </w:rPr>
      </w:pPr>
      <w:r>
        <w:rPr>
          <w:rFonts w:hint="default" w:ascii="Times New Roman" w:hAnsi="Times New Roman" w:cs="Times New Roman"/>
          <w:spacing w:val="22"/>
          <w:sz w:val="30"/>
          <w:szCs w:val="30"/>
        </w:rPr>
        <w:t>法人代表</w:t>
      </w:r>
      <w:r>
        <w:rPr>
          <w:rFonts w:hint="default" w:ascii="Times New Roman" w:hAnsi="Times New Roman" w:cs="Times New Roman"/>
          <w:sz w:val="30"/>
          <w:szCs w:val="30"/>
        </w:rPr>
        <w:t>：叶瓯文</w:t>
      </w:r>
    </w:p>
    <w:p>
      <w:pPr>
        <w:tabs>
          <w:tab w:val="left" w:pos="1890"/>
        </w:tabs>
        <w:adjustRightInd w:val="0"/>
        <w:snapToGrid w:val="0"/>
        <w:spacing w:line="360" w:lineRule="auto"/>
        <w:ind w:left="420" w:leftChars="200"/>
        <w:rPr>
          <w:rFonts w:hint="default" w:ascii="Times New Roman" w:hAnsi="Times New Roman" w:cs="Times New Roman"/>
          <w:color w:val="000000"/>
          <w:sz w:val="30"/>
          <w:szCs w:val="30"/>
        </w:rPr>
      </w:pPr>
      <w:r>
        <w:rPr>
          <w:rFonts w:hint="default" w:ascii="Times New Roman" w:hAnsi="Times New Roman" w:cs="Times New Roman"/>
          <w:spacing w:val="-10"/>
          <w:sz w:val="30"/>
          <w:szCs w:val="30"/>
        </w:rPr>
        <w:t>项目负责人</w:t>
      </w:r>
      <w:r>
        <w:rPr>
          <w:rFonts w:hint="default" w:ascii="Times New Roman" w:hAnsi="Times New Roman" w:cs="Times New Roman"/>
          <w:sz w:val="30"/>
          <w:szCs w:val="30"/>
        </w:rPr>
        <w:t>：高鸿州</w:t>
      </w:r>
    </w:p>
    <w:p>
      <w:pPr>
        <w:tabs>
          <w:tab w:val="left" w:pos="1890"/>
        </w:tabs>
        <w:adjustRightInd w:val="0"/>
        <w:snapToGrid w:val="0"/>
        <w:spacing w:line="360" w:lineRule="auto"/>
        <w:ind w:left="420" w:leftChars="200"/>
        <w:rPr>
          <w:rFonts w:hint="default" w:ascii="Times New Roman" w:hAnsi="Times New Roman" w:cs="Times New Roman"/>
          <w:color w:val="000000"/>
          <w:sz w:val="30"/>
          <w:szCs w:val="30"/>
        </w:rPr>
      </w:pPr>
      <w:r>
        <w:rPr>
          <w:rFonts w:hint="default" w:ascii="Times New Roman" w:hAnsi="Times New Roman" w:cs="Times New Roman"/>
          <w:spacing w:val="-10"/>
          <w:sz w:val="30"/>
          <w:szCs w:val="30"/>
        </w:rPr>
        <w:t>报告编制人</w:t>
      </w:r>
      <w:r>
        <w:rPr>
          <w:rFonts w:hint="default" w:ascii="Times New Roman" w:hAnsi="Times New Roman" w:cs="Times New Roman"/>
          <w:sz w:val="30"/>
          <w:szCs w:val="30"/>
        </w:rPr>
        <w:t>：</w:t>
      </w:r>
      <w:r>
        <w:rPr>
          <w:rFonts w:hint="default" w:ascii="Times New Roman" w:hAnsi="Times New Roman" w:cs="Times New Roman"/>
          <w:color w:val="000000"/>
          <w:sz w:val="30"/>
          <w:szCs w:val="30"/>
        </w:rPr>
        <w:t>高鸿州</w:t>
      </w:r>
    </w:p>
    <w:p>
      <w:pPr>
        <w:tabs>
          <w:tab w:val="left" w:pos="1890"/>
        </w:tabs>
        <w:adjustRightInd w:val="0"/>
        <w:snapToGrid w:val="0"/>
        <w:spacing w:line="360" w:lineRule="auto"/>
        <w:ind w:left="420" w:leftChars="200"/>
        <w:rPr>
          <w:rFonts w:hint="default" w:ascii="Times New Roman" w:hAnsi="Times New Roman" w:cs="Times New Roman"/>
          <w:spacing w:val="-10"/>
          <w:sz w:val="30"/>
          <w:szCs w:val="30"/>
        </w:rPr>
      </w:pPr>
    </w:p>
    <w:p>
      <w:pPr>
        <w:tabs>
          <w:tab w:val="left" w:pos="1890"/>
        </w:tabs>
        <w:adjustRightInd w:val="0"/>
        <w:snapToGrid w:val="0"/>
        <w:spacing w:line="360" w:lineRule="auto"/>
        <w:ind w:left="34" w:hanging="34"/>
        <w:rPr>
          <w:rFonts w:hint="default" w:ascii="Times New Roman" w:hAnsi="Times New Roman" w:cs="Times New Roman"/>
          <w:sz w:val="28"/>
        </w:rPr>
      </w:pPr>
    </w:p>
    <w:p>
      <w:pPr>
        <w:tabs>
          <w:tab w:val="left" w:pos="1890"/>
        </w:tabs>
        <w:adjustRightInd w:val="0"/>
        <w:snapToGrid w:val="0"/>
        <w:spacing w:line="360" w:lineRule="auto"/>
        <w:ind w:left="34" w:hanging="34"/>
        <w:rPr>
          <w:rFonts w:hint="default" w:ascii="Times New Roman" w:hAnsi="Times New Roman" w:cs="Times New Roman"/>
          <w:sz w:val="28"/>
        </w:rPr>
      </w:pPr>
    </w:p>
    <w:p>
      <w:pPr>
        <w:tabs>
          <w:tab w:val="left" w:pos="1890"/>
        </w:tabs>
        <w:adjustRightInd w:val="0"/>
        <w:snapToGrid w:val="0"/>
        <w:spacing w:line="360" w:lineRule="auto"/>
        <w:ind w:left="34" w:hanging="34"/>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rPr>
          <w:rFonts w:hint="default" w:ascii="Times New Roman" w:hAnsi="Times New Roman" w:cs="Times New Roman"/>
          <w:sz w:val="28"/>
        </w:rPr>
      </w:pPr>
    </w:p>
    <w:p>
      <w:pPr>
        <w:tabs>
          <w:tab w:val="left" w:pos="1890"/>
        </w:tabs>
        <w:adjustRightInd w:val="0"/>
        <w:snapToGrid w:val="0"/>
        <w:spacing w:line="360" w:lineRule="auto"/>
        <w:ind w:left="34" w:hanging="34"/>
        <w:rPr>
          <w:rFonts w:hint="default" w:ascii="Times New Roman" w:hAnsi="Times New Roman" w:cs="Times New Roman"/>
          <w:sz w:val="28"/>
        </w:rPr>
      </w:pPr>
    </w:p>
    <w:p>
      <w:pPr>
        <w:tabs>
          <w:tab w:val="left" w:pos="1890"/>
        </w:tabs>
        <w:adjustRightInd w:val="0"/>
        <w:snapToGrid w:val="0"/>
        <w:spacing w:line="360" w:lineRule="auto"/>
        <w:ind w:left="34" w:hanging="34"/>
        <w:rPr>
          <w:rFonts w:hint="default" w:ascii="Times New Roman" w:hAnsi="Times New Roman" w:cs="Times New Roman"/>
          <w:sz w:val="28"/>
        </w:rPr>
      </w:pPr>
    </w:p>
    <w:tbl>
      <w:tblPr>
        <w:tblStyle w:val="37"/>
        <w:tblW w:w="9498" w:type="dxa"/>
        <w:tblInd w:w="-318" w:type="dxa"/>
        <w:tblLayout w:type="fixed"/>
        <w:tblCellMar>
          <w:top w:w="0" w:type="dxa"/>
          <w:left w:w="108" w:type="dxa"/>
          <w:bottom w:w="0" w:type="dxa"/>
          <w:right w:w="108" w:type="dxa"/>
        </w:tblCellMar>
      </w:tblPr>
      <w:tblGrid>
        <w:gridCol w:w="4587"/>
        <w:gridCol w:w="4911"/>
      </w:tblGrid>
      <w:tr>
        <w:tblPrEx>
          <w:tblCellMar>
            <w:top w:w="0" w:type="dxa"/>
            <w:left w:w="108" w:type="dxa"/>
            <w:bottom w:w="0" w:type="dxa"/>
            <w:right w:w="108" w:type="dxa"/>
          </w:tblCellMar>
        </w:tblPrEx>
        <w:trPr>
          <w:trHeight w:val="824" w:hRule="atLeast"/>
        </w:trPr>
        <w:tc>
          <w:tcPr>
            <w:tcW w:w="4587" w:type="dxa"/>
            <w:vAlign w:val="center"/>
          </w:tcPr>
          <w:p>
            <w:pPr>
              <w:tabs>
                <w:tab w:val="left" w:pos="189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平阳县万鹏表面处理有限公司</w:t>
            </w:r>
            <w:r>
              <w:rPr>
                <w:rFonts w:hint="default" w:ascii="Times New Roman" w:hAnsi="Times New Roman" w:eastAsia="仿宋_GB2312" w:cs="Times New Roman"/>
                <w:sz w:val="28"/>
                <w:szCs w:val="28"/>
              </w:rPr>
              <w:t>(盖章)</w:t>
            </w:r>
          </w:p>
        </w:tc>
        <w:tc>
          <w:tcPr>
            <w:tcW w:w="4911" w:type="dxa"/>
            <w:vAlign w:val="center"/>
          </w:tcPr>
          <w:p>
            <w:pPr>
              <w:tabs>
                <w:tab w:val="left" w:pos="189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温州新鸿检测技术有限公司(盖章)</w:t>
            </w:r>
          </w:p>
          <w:p>
            <w:pPr>
              <w:tabs>
                <w:tab w:val="left" w:pos="1890"/>
              </w:tabs>
              <w:adjustRightInd w:val="0"/>
              <w:snapToGrid w:val="0"/>
              <w:spacing w:line="360" w:lineRule="auto"/>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(统一社会信用代码：91330302098509998P）</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电话</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en-US" w:eastAsia="zh-CN"/>
              </w:rPr>
              <w:t>13967787963</w:t>
            </w:r>
          </w:p>
        </w:tc>
        <w:tc>
          <w:tcPr>
            <w:tcW w:w="4911" w:type="dxa"/>
            <w:vAlign w:val="center"/>
          </w:tcPr>
          <w:p>
            <w:pPr>
              <w:tabs>
                <w:tab w:val="left" w:pos="1680"/>
                <w:tab w:val="left" w:pos="3360"/>
                <w:tab w:val="left" w:pos="5040"/>
                <w:tab w:val="left" w:pos="672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pacing w:val="-40"/>
                <w:sz w:val="28"/>
                <w:szCs w:val="28"/>
              </w:rPr>
              <w:t>：</w:t>
            </w:r>
            <w:r>
              <w:rPr>
                <w:rFonts w:hint="default" w:ascii="Times New Roman" w:hAnsi="Times New Roman" w:cs="Times New Roman"/>
                <w:color w:val="000000"/>
                <w:sz w:val="28"/>
                <w:szCs w:val="28"/>
              </w:rPr>
              <w:t>18257781239</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pacing w:val="-40"/>
                <w:sz w:val="28"/>
                <w:szCs w:val="28"/>
              </w:rPr>
              <w:t>：    \</w:t>
            </w:r>
          </w:p>
        </w:tc>
        <w:tc>
          <w:tcPr>
            <w:tcW w:w="4911" w:type="dxa"/>
            <w:vAlign w:val="center"/>
          </w:tcPr>
          <w:p>
            <w:pPr>
              <w:tabs>
                <w:tab w:val="left" w:pos="1680"/>
                <w:tab w:val="left" w:pos="3360"/>
                <w:tab w:val="left" w:pos="5040"/>
                <w:tab w:val="left" w:pos="672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pacing w:val="-40"/>
                <w:sz w:val="28"/>
                <w:szCs w:val="28"/>
              </w:rPr>
              <w:t>：</w:t>
            </w:r>
            <w:r>
              <w:rPr>
                <w:rFonts w:hint="default" w:ascii="Times New Roman" w:hAnsi="Times New Roman" w:cs="Times New Roman"/>
                <w:color w:val="000000"/>
                <w:sz w:val="28"/>
                <w:szCs w:val="28"/>
              </w:rPr>
              <w:t>0577-88876910</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邮编</w:t>
            </w:r>
            <w:r>
              <w:rPr>
                <w:rFonts w:hint="default" w:ascii="Times New Roman" w:hAnsi="Times New Roman" w:eastAsia="仿宋_GB2312" w:cs="Times New Roman"/>
                <w:spacing w:val="-40"/>
                <w:sz w:val="28"/>
                <w:szCs w:val="28"/>
              </w:rPr>
              <w:t>：</w:t>
            </w:r>
            <w:r>
              <w:rPr>
                <w:rFonts w:hint="default" w:ascii="Times New Roman" w:hAnsi="Times New Roman" w:eastAsia="仿宋_GB2312" w:cs="Times New Roman"/>
                <w:sz w:val="28"/>
                <w:szCs w:val="28"/>
              </w:rPr>
              <w:t>325000</w:t>
            </w:r>
          </w:p>
        </w:tc>
        <w:tc>
          <w:tcPr>
            <w:tcW w:w="4911" w:type="dxa"/>
            <w:vAlign w:val="center"/>
          </w:tcPr>
          <w:p>
            <w:pPr>
              <w:tabs>
                <w:tab w:val="left" w:pos="1890"/>
              </w:tabs>
              <w:adjustRightInd w:val="0"/>
              <w:snapToGrid w:val="0"/>
              <w:spacing w:line="360" w:lineRule="auto"/>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邮编</w:t>
            </w:r>
            <w:r>
              <w:rPr>
                <w:rFonts w:hint="default" w:ascii="Times New Roman" w:hAnsi="Times New Roman" w:eastAsia="仿宋_GB2312" w:cs="Times New Roman"/>
                <w:spacing w:val="-40"/>
                <w:sz w:val="28"/>
                <w:szCs w:val="28"/>
              </w:rPr>
              <w:t>：</w:t>
            </w:r>
            <w:r>
              <w:rPr>
                <w:rFonts w:hint="default" w:ascii="Times New Roman" w:hAnsi="Times New Roman" w:cs="Times New Roman"/>
                <w:color w:val="000000"/>
                <w:sz w:val="28"/>
                <w:szCs w:val="28"/>
              </w:rPr>
              <w:t>325011</w:t>
            </w:r>
          </w:p>
        </w:tc>
      </w:tr>
      <w:tr>
        <w:tblPrEx>
          <w:tblCellMar>
            <w:top w:w="0" w:type="dxa"/>
            <w:left w:w="108" w:type="dxa"/>
            <w:bottom w:w="0" w:type="dxa"/>
            <w:right w:w="108" w:type="dxa"/>
          </w:tblCellMar>
        </w:tblPrEx>
        <w:trPr>
          <w:trHeight w:val="824" w:hRule="atLeast"/>
        </w:trPr>
        <w:tc>
          <w:tcPr>
            <w:tcW w:w="4587" w:type="dxa"/>
            <w:vAlign w:val="center"/>
          </w:tcPr>
          <w:p>
            <w:pPr>
              <w:tabs>
                <w:tab w:val="left" w:pos="1680"/>
                <w:tab w:val="left" w:pos="3360"/>
                <w:tab w:val="left" w:pos="5040"/>
                <w:tab w:val="left" w:pos="6720"/>
              </w:tabs>
              <w:adjustRightInd w:val="0"/>
              <w:snapToGrid w:val="0"/>
              <w:spacing w:line="360" w:lineRule="auto"/>
              <w:ind w:left="280" w:hanging="280" w:hangingChars="100"/>
              <w:jc w:val="left"/>
              <w:rPr>
                <w:rFonts w:hint="default" w:ascii="Times New Roman" w:hAnsi="Times New Roman" w:eastAsia="仿宋_GB2312" w:cs="Times New Roman"/>
                <w:color w:val="000000"/>
                <w:spacing w:val="-16"/>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color w:val="000000"/>
                <w:spacing w:val="-16"/>
                <w:sz w:val="28"/>
                <w:szCs w:val="28"/>
              </w:rPr>
              <w:t>：</w:t>
            </w:r>
            <w:r>
              <w:rPr>
                <w:rFonts w:hint="default" w:ascii="Times New Roman" w:hAnsi="Times New Roman" w:eastAsia="仿宋_GB2312" w:cs="Times New Roman"/>
                <w:color w:val="000000"/>
                <w:spacing w:val="-16"/>
                <w:sz w:val="28"/>
                <w:szCs w:val="28"/>
                <w:lang w:eastAsia="zh-CN"/>
              </w:rPr>
              <w:t>平阳县宋埠海涂围垦区电镀园区C11地块</w:t>
            </w:r>
            <w:r>
              <w:rPr>
                <w:rFonts w:hint="default" w:ascii="Times New Roman" w:hAnsi="Times New Roman" w:eastAsia="仿宋_GB2312" w:cs="Times New Roman"/>
                <w:color w:val="000000"/>
                <w:spacing w:val="-16"/>
                <w:sz w:val="28"/>
                <w:szCs w:val="28"/>
              </w:rPr>
              <w:t>(D08-1地块)</w:t>
            </w:r>
          </w:p>
        </w:tc>
        <w:tc>
          <w:tcPr>
            <w:tcW w:w="4911" w:type="dxa"/>
            <w:vAlign w:val="center"/>
          </w:tcPr>
          <w:p>
            <w:pPr>
              <w:tabs>
                <w:tab w:val="left" w:pos="1890"/>
              </w:tabs>
              <w:adjustRightInd w:val="0"/>
              <w:snapToGrid w:val="0"/>
              <w:spacing w:line="360" w:lineRule="auto"/>
              <w:ind w:left="280" w:hanging="280" w:hanging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pacing w:val="-40"/>
                <w:sz w:val="28"/>
                <w:szCs w:val="28"/>
              </w:rPr>
              <w:t>：</w:t>
            </w:r>
            <w:r>
              <w:rPr>
                <w:rFonts w:hint="default" w:ascii="Times New Roman" w:hAnsi="Times New Roman" w:eastAsia="仿宋_GB2312" w:cs="Times New Roman"/>
                <w:color w:val="000000"/>
                <w:spacing w:val="-16"/>
                <w:sz w:val="28"/>
                <w:szCs w:val="28"/>
              </w:rPr>
              <w:t xml:space="preserve">温州经济开发区玉苍西路 </w:t>
            </w:r>
            <w:r>
              <w:rPr>
                <w:rFonts w:hint="default" w:ascii="Times New Roman" w:hAnsi="Times New Roman" w:eastAsia="仿宋_GB2312" w:cs="Times New Roman"/>
                <w:color w:val="000000"/>
                <w:sz w:val="28"/>
                <w:szCs w:val="28"/>
              </w:rPr>
              <w:t>80号（8号厂房第二层、第四层）</w:t>
            </w:r>
          </w:p>
        </w:tc>
      </w:tr>
    </w:tbl>
    <w:p>
      <w:pPr>
        <w:rPr>
          <w:rFonts w:hint="default" w:ascii="Times New Roman" w:hAnsi="Times New Roman" w:cs="Times New Roman"/>
          <w:b/>
          <w:bCs/>
          <w:sz w:val="52"/>
        </w:rPr>
      </w:pPr>
      <w:r>
        <w:rPr>
          <w:rFonts w:hint="default" w:ascii="Times New Roman" w:hAnsi="Times New Roman" w:cs="Times New Roman"/>
          <w:b/>
          <w:bCs/>
          <w:sz w:val="52"/>
        </w:rPr>
        <w:br w:type="page"/>
      </w:r>
    </w:p>
    <w:p>
      <w:pPr>
        <w:pStyle w:val="27"/>
        <w:tabs>
          <w:tab w:val="right" w:leader="dot" w:pos="8495"/>
        </w:tabs>
        <w:spacing w:line="360" w:lineRule="auto"/>
        <w:jc w:val="center"/>
        <w:rPr>
          <w:rFonts w:hint="default" w:ascii="Times New Roman" w:hAnsi="Times New Roman" w:cs="Times New Roman"/>
          <w:b/>
          <w:bCs/>
          <w:sz w:val="52"/>
        </w:rPr>
      </w:pPr>
      <w:r>
        <w:rPr>
          <w:rFonts w:hint="default" w:ascii="Times New Roman" w:hAnsi="Times New Roman" w:cs="Times New Roman"/>
          <w:b/>
          <w:bCs/>
          <w:sz w:val="52"/>
        </w:rPr>
        <w:t>目   录</w:t>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b/>
          <w:sz w:val="30"/>
          <w:szCs w:val="30"/>
        </w:rPr>
      </w:pPr>
      <w:bookmarkStart w:id="52" w:name="_Hlt25379830"/>
      <w:bookmarkEnd w:id="52"/>
      <w:bookmarkStart w:id="53" w:name="_Hlt25379835"/>
      <w:bookmarkEnd w:id="53"/>
      <w:bookmarkStart w:id="54" w:name="_Hlt25379829"/>
      <w:bookmarkEnd w:id="54"/>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TOC \o "1-2" \h \z \u </w:instrText>
      </w:r>
      <w:r>
        <w:rPr>
          <w:rFonts w:hint="default" w:ascii="Times New Roman" w:hAnsi="Times New Roman" w:cs="Times New Roman"/>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"_Toc2867122" </w:instrText>
      </w:r>
      <w:r>
        <w:rPr>
          <w:rFonts w:hint="default" w:ascii="Times New Roman" w:hAnsi="Times New Roman" w:cs="Times New Roman"/>
        </w:rPr>
        <w:fldChar w:fldCharType="separate"/>
      </w:r>
      <w:r>
        <w:rPr>
          <w:rStyle w:val="44"/>
          <w:rFonts w:hint="default" w:ascii="Times New Roman" w:hAnsi="Times New Roman" w:cs="Times New Roman"/>
          <w:b/>
          <w:sz w:val="30"/>
          <w:szCs w:val="30"/>
        </w:rPr>
        <w:t>1 验收项目概况</w:t>
      </w:r>
      <w:r>
        <w:rPr>
          <w:rStyle w:val="44"/>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Style w:val="44"/>
          <w:rFonts w:hint="default" w:ascii="Times New Roman" w:hAnsi="Times New Roman" w:cs="Times New Roman"/>
          <w:b/>
          <w:sz w:val="30"/>
          <w:szCs w:val="30"/>
        </w:rPr>
        <w:instrText xml:space="preserve"> PAGEREF _Toc2867122 \h </w:instrText>
      </w:r>
      <w:r>
        <w:rPr>
          <w:rFonts w:hint="default" w:ascii="Times New Roman" w:hAnsi="Times New Roman" w:cs="Times New Roman"/>
          <w:b/>
          <w:sz w:val="30"/>
          <w:szCs w:val="30"/>
        </w:rPr>
        <w:fldChar w:fldCharType="separate"/>
      </w:r>
      <w:r>
        <w:rPr>
          <w:rStyle w:val="44"/>
          <w:rFonts w:hint="default" w:ascii="Times New Roman" w:hAnsi="Times New Roman" w:cs="Times New Roman"/>
          <w:b/>
          <w:sz w:val="30"/>
          <w:szCs w:val="30"/>
        </w:rPr>
        <w:t>1</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"_Toc2867123" </w:instrText>
      </w:r>
      <w:r>
        <w:rPr>
          <w:rFonts w:hint="default" w:ascii="Times New Roman" w:hAnsi="Times New Roman" w:cs="Times New Roman"/>
        </w:rPr>
        <w:fldChar w:fldCharType="separate"/>
      </w:r>
      <w:r>
        <w:rPr>
          <w:rFonts w:hint="default" w:ascii="Times New Roman" w:hAnsi="Times New Roman" w:cs="Times New Roman"/>
          <w:b/>
          <w:sz w:val="30"/>
          <w:szCs w:val="30"/>
        </w:rPr>
        <w:t>2 验收监测依据</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_Toc2867123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4</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"_Toc2867124" </w:instrText>
      </w:r>
      <w:r>
        <w:rPr>
          <w:rFonts w:hint="default" w:ascii="Times New Roman" w:hAnsi="Times New Roman" w:cs="Times New Roman"/>
        </w:rPr>
        <w:fldChar w:fldCharType="separate"/>
      </w:r>
      <w:r>
        <w:rPr>
          <w:rFonts w:hint="default" w:ascii="Times New Roman" w:hAnsi="Times New Roman" w:cs="Times New Roman"/>
          <w:b/>
          <w:sz w:val="30"/>
          <w:szCs w:val="30"/>
        </w:rPr>
        <w:t>3 工程建设情况</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_Toc2867124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5</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"_Toc2867125"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3.1 地理位置及平面布置</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_Toc2867125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"_Toc2867126"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3.2 建设内容</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_Toc2867126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"_Toc2867127"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3.3 主要原辅材料及燃料</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_Toc2867127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"_Toc2867128"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3.4 水源及水平衡</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_Toc2867128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7</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"_Toc2867129"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3.5 生产工艺</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_Toc2867129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"_Toc2867130" </w:instrText>
      </w:r>
      <w:r>
        <w:rPr>
          <w:rFonts w:hint="default" w:ascii="Times New Roman" w:hAnsi="Times New Roman" w:cs="Times New Roman"/>
        </w:rPr>
        <w:fldChar w:fldCharType="separate"/>
      </w:r>
      <w:r>
        <w:rPr>
          <w:rStyle w:val="44"/>
          <w:rFonts w:hint="default" w:ascii="Times New Roman" w:hAnsi="Times New Roman" w:cs="Times New Roman"/>
          <w:sz w:val="30"/>
          <w:szCs w:val="30"/>
        </w:rPr>
        <w:t>3.6 项目变动情况</w:t>
      </w:r>
      <w:r>
        <w:rPr>
          <w:rStyle w:val="44"/>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Style w:val="44"/>
          <w:rFonts w:hint="default" w:ascii="Times New Roman" w:hAnsi="Times New Roman" w:cs="Times New Roman"/>
          <w:sz w:val="30"/>
          <w:szCs w:val="30"/>
        </w:rPr>
        <w:instrText xml:space="preserve"> PAGEREF _Toc2867130 \h </w:instrText>
      </w:r>
      <w:r>
        <w:rPr>
          <w:rFonts w:hint="default" w:ascii="Times New Roman" w:hAnsi="Times New Roman" w:cs="Times New Roman"/>
          <w:sz w:val="30"/>
          <w:szCs w:val="30"/>
        </w:rPr>
        <w:fldChar w:fldCharType="separate"/>
      </w:r>
      <w:r>
        <w:rPr>
          <w:rStyle w:val="44"/>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ind w:left="0" w:leftChars="0"/>
        <w:textAlignment w:val="auto"/>
        <w:rPr>
          <w:rStyle w:val="44"/>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"_Toc2867124" </w:instrText>
      </w:r>
      <w:r>
        <w:rPr>
          <w:rFonts w:hint="default" w:ascii="Times New Roman" w:hAnsi="Times New Roman" w:cs="Times New Roman"/>
        </w:rPr>
        <w:fldChar w:fldCharType="separate"/>
      </w:r>
      <w:r>
        <w:rPr>
          <w:rFonts w:hint="default" w:ascii="Times New Roman" w:hAnsi="Times New Roman" w:cs="Times New Roman"/>
          <w:b/>
          <w:sz w:val="30"/>
          <w:szCs w:val="30"/>
        </w:rPr>
        <w:t xml:space="preserve">4 </w:t>
      </w:r>
      <w:r>
        <w:rPr>
          <w:rStyle w:val="44"/>
          <w:rFonts w:hint="default" w:ascii="Times New Roman" w:hAnsi="Times New Roman" w:cs="Times New Roman"/>
          <w:b/>
          <w:sz w:val="30"/>
          <w:szCs w:val="30"/>
        </w:rPr>
        <w:t>整治符合性分析</w:t>
      </w:r>
      <w:r>
        <w:rPr>
          <w:rFonts w:hint="default" w:ascii="Times New Roman" w:hAnsi="Times New Roman" w:cs="Times New Roman"/>
          <w:b/>
          <w:sz w:val="30"/>
          <w:szCs w:val="30"/>
        </w:rPr>
        <w:tab/>
      </w:r>
      <w:r>
        <w:rPr>
          <w:rFonts w:hint="default" w:ascii="Times New Roman" w:hAnsi="Times New Roman" w:cs="Times New Roman"/>
          <w:b/>
          <w:sz w:val="30"/>
          <w:szCs w:val="30"/>
        </w:rPr>
        <w:t>8</w:t>
      </w:r>
      <w:r>
        <w:rPr>
          <w:rFonts w:hint="default" w:ascii="Times New Roman" w:hAnsi="Times New Roman" w:cs="Times New Roman"/>
          <w:b/>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"_Toc2867131" </w:instrText>
      </w:r>
      <w:r>
        <w:rPr>
          <w:rFonts w:hint="default" w:ascii="Times New Roman" w:hAnsi="Times New Roman" w:cs="Times New Roman"/>
        </w:rPr>
        <w:fldChar w:fldCharType="separate"/>
      </w:r>
      <w:r>
        <w:rPr>
          <w:rFonts w:hint="default" w:ascii="Times New Roman" w:hAnsi="Times New Roman" w:cs="Times New Roman"/>
          <w:b/>
          <w:sz w:val="30"/>
          <w:szCs w:val="30"/>
        </w:rPr>
        <w:t>5 环境保护设施情况</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_Toc2867131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25</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"_Toc2867132" </w:instrText>
      </w:r>
      <w:r>
        <w:rPr>
          <w:rFonts w:hint="default" w:ascii="Times New Roman" w:hAnsi="Times New Roman" w:cs="Times New Roman"/>
        </w:rPr>
        <w:fldChar w:fldCharType="separate"/>
      </w:r>
      <w:r>
        <w:rPr>
          <w:rFonts w:hint="default" w:ascii="Times New Roman" w:hAnsi="Times New Roman" w:cs="Times New Roman"/>
          <w:sz w:val="30"/>
          <w:szCs w:val="30"/>
        </w:rPr>
        <w:t>5.1 污染物治理/处理设施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"_Toc2867133" </w:instrText>
      </w:r>
      <w:r>
        <w:rPr>
          <w:rFonts w:hint="default" w:ascii="Times New Roman" w:hAnsi="Times New Roman" w:cs="Times New Roman"/>
        </w:rPr>
        <w:fldChar w:fldCharType="separate"/>
      </w:r>
      <w:r>
        <w:rPr>
          <w:rFonts w:hint="default" w:ascii="Times New Roman" w:hAnsi="Times New Roman" w:cs="Times New Roman"/>
          <w:sz w:val="30"/>
          <w:szCs w:val="30"/>
        </w:rPr>
        <w:t>5.2 其他环保设施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"_Toc2867134" </w:instrText>
      </w:r>
      <w:r>
        <w:rPr>
          <w:rFonts w:hint="default" w:ascii="Times New Roman" w:hAnsi="Times New Roman" w:cs="Times New Roman"/>
        </w:rPr>
        <w:fldChar w:fldCharType="separate"/>
      </w:r>
      <w:r>
        <w:rPr>
          <w:rFonts w:hint="default" w:ascii="Times New Roman" w:hAnsi="Times New Roman" w:cs="Times New Roman"/>
          <w:sz w:val="30"/>
          <w:szCs w:val="30"/>
        </w:rPr>
        <w:t>5.3 环保设施投资及“三同时”落实情况</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"_Toc2867135" </w:instrText>
      </w:r>
      <w:r>
        <w:rPr>
          <w:rFonts w:hint="default" w:ascii="Times New Roman" w:hAnsi="Times New Roman" w:cs="Times New Roman"/>
        </w:rPr>
        <w:fldChar w:fldCharType="separate"/>
      </w:r>
      <w:r>
        <w:rPr>
          <w:rFonts w:hint="default" w:ascii="Times New Roman" w:hAnsi="Times New Roman" w:cs="Times New Roman"/>
          <w:b/>
          <w:sz w:val="30"/>
          <w:szCs w:val="30"/>
        </w:rPr>
        <w:t>6 建设项目环评报告的主要结论及审批</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_Toc2867135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33</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"_Toc2867136" </w:instrText>
      </w:r>
      <w:r>
        <w:rPr>
          <w:rFonts w:hint="default" w:ascii="Times New Roman" w:hAnsi="Times New Roman" w:cs="Times New Roman"/>
        </w:rPr>
        <w:fldChar w:fldCharType="separate"/>
      </w:r>
      <w:r>
        <w:rPr>
          <w:rFonts w:hint="default" w:ascii="Times New Roman" w:hAnsi="Times New Roman" w:cs="Times New Roman"/>
          <w:sz w:val="30"/>
          <w:szCs w:val="30"/>
        </w:rPr>
        <w:t>6.1 环评报告的主要结论与建议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"_Toc2867137" </w:instrText>
      </w:r>
      <w:r>
        <w:rPr>
          <w:rFonts w:hint="default" w:ascii="Times New Roman" w:hAnsi="Times New Roman" w:cs="Times New Roman"/>
        </w:rPr>
        <w:fldChar w:fldCharType="separate"/>
      </w:r>
      <w:r>
        <w:rPr>
          <w:rFonts w:hint="default" w:ascii="Times New Roman" w:hAnsi="Times New Roman" w:cs="Times New Roman"/>
          <w:sz w:val="30"/>
          <w:szCs w:val="30"/>
        </w:rPr>
        <w:t>6.2 审批部门审批决定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"_Toc2867138" </w:instrText>
      </w:r>
      <w:r>
        <w:rPr>
          <w:rFonts w:hint="default" w:ascii="Times New Roman" w:hAnsi="Times New Roman" w:cs="Times New Roman"/>
        </w:rPr>
        <w:fldChar w:fldCharType="separate"/>
      </w:r>
      <w:r>
        <w:rPr>
          <w:rFonts w:hint="default" w:ascii="Times New Roman" w:hAnsi="Times New Roman" w:cs="Times New Roman"/>
          <w:b/>
          <w:sz w:val="30"/>
          <w:szCs w:val="30"/>
        </w:rPr>
        <w:t>7 验收执行标准</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_Toc2867138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38</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"_Toc2867139" </w:instrText>
      </w:r>
      <w:r>
        <w:rPr>
          <w:rFonts w:hint="default" w:ascii="Times New Roman" w:hAnsi="Times New Roman" w:cs="Times New Roman"/>
        </w:rPr>
        <w:fldChar w:fldCharType="separate"/>
      </w:r>
      <w:r>
        <w:rPr>
          <w:rFonts w:hint="default" w:ascii="Times New Roman" w:hAnsi="Times New Roman" w:cs="Times New Roman"/>
          <w:sz w:val="30"/>
          <w:szCs w:val="30"/>
        </w:rPr>
        <w:t>7.1 验收评价标准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_Toc2867139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"_Toc2867140" </w:instrText>
      </w:r>
      <w:r>
        <w:rPr>
          <w:rFonts w:hint="default" w:ascii="Times New Roman" w:hAnsi="Times New Roman" w:cs="Times New Roman"/>
        </w:rPr>
        <w:fldChar w:fldCharType="separate"/>
      </w:r>
      <w:r>
        <w:rPr>
          <w:rFonts w:hint="default" w:ascii="Times New Roman" w:hAnsi="Times New Roman" w:cs="Times New Roman"/>
          <w:sz w:val="30"/>
          <w:szCs w:val="30"/>
        </w:rPr>
        <w:t>7.2 总量控制指标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"_Toc2867141" </w:instrText>
      </w:r>
      <w:r>
        <w:rPr>
          <w:rFonts w:hint="default" w:ascii="Times New Roman" w:hAnsi="Times New Roman" w:cs="Times New Roman"/>
        </w:rPr>
        <w:fldChar w:fldCharType="separate"/>
      </w:r>
      <w:r>
        <w:rPr>
          <w:rFonts w:hint="default" w:ascii="Times New Roman" w:hAnsi="Times New Roman" w:cs="Times New Roman"/>
          <w:b/>
          <w:sz w:val="30"/>
          <w:szCs w:val="30"/>
        </w:rPr>
        <w:t>8 验收监测内容</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_Toc2867141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39</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"_Toc2867142" </w:instrText>
      </w:r>
      <w:r>
        <w:rPr>
          <w:rFonts w:hint="default" w:ascii="Times New Roman" w:hAnsi="Times New Roman" w:cs="Times New Roman"/>
        </w:rPr>
        <w:fldChar w:fldCharType="separate"/>
      </w:r>
      <w:r>
        <w:rPr>
          <w:rFonts w:hint="default" w:ascii="Times New Roman" w:hAnsi="Times New Roman" w:cs="Times New Roman"/>
          <w:sz w:val="30"/>
          <w:szCs w:val="30"/>
        </w:rPr>
        <w:t>8.1环境保护设施调试效果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"_Toc2867143" </w:instrText>
      </w:r>
      <w:r>
        <w:rPr>
          <w:rFonts w:hint="default" w:ascii="Times New Roman" w:hAnsi="Times New Roman" w:cs="Times New Roman"/>
        </w:rPr>
        <w:fldChar w:fldCharType="separate"/>
      </w:r>
      <w:r>
        <w:rPr>
          <w:rFonts w:hint="default" w:ascii="Times New Roman" w:hAnsi="Times New Roman" w:cs="Times New Roman"/>
          <w:b/>
          <w:sz w:val="30"/>
          <w:szCs w:val="30"/>
        </w:rPr>
        <w:t>9 质量保证及质量控制</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_Toc2867143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40</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"_Toc2867144" </w:instrText>
      </w:r>
      <w:r>
        <w:rPr>
          <w:rFonts w:hint="default" w:ascii="Times New Roman" w:hAnsi="Times New Roman" w:cs="Times New Roman"/>
        </w:rPr>
        <w:fldChar w:fldCharType="separate"/>
      </w:r>
      <w:r>
        <w:rPr>
          <w:rFonts w:hint="default" w:ascii="Times New Roman" w:hAnsi="Times New Roman" w:cs="Times New Roman"/>
          <w:sz w:val="30"/>
          <w:szCs w:val="30"/>
        </w:rPr>
        <w:t>9.1 监测分析方法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"_Toc2867145" </w:instrText>
      </w:r>
      <w:r>
        <w:rPr>
          <w:rFonts w:hint="default" w:ascii="Times New Roman" w:hAnsi="Times New Roman" w:cs="Times New Roman"/>
        </w:rPr>
        <w:fldChar w:fldCharType="separate"/>
      </w:r>
      <w:r>
        <w:rPr>
          <w:rFonts w:hint="default" w:ascii="Times New Roman" w:hAnsi="Times New Roman" w:cs="Times New Roman"/>
          <w:sz w:val="30"/>
          <w:szCs w:val="30"/>
        </w:rPr>
        <w:t>9.2 监测仪器设备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"_Toc2867146" </w:instrText>
      </w:r>
      <w:r>
        <w:rPr>
          <w:rFonts w:hint="default" w:ascii="Times New Roman" w:hAnsi="Times New Roman" w:cs="Times New Roman"/>
        </w:rPr>
        <w:fldChar w:fldCharType="separate"/>
      </w:r>
      <w:r>
        <w:rPr>
          <w:rFonts w:hint="default" w:ascii="Times New Roman" w:hAnsi="Times New Roman" w:cs="Times New Roman"/>
          <w:sz w:val="30"/>
          <w:szCs w:val="30"/>
        </w:rPr>
        <w:t>9.3 人员资质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"_Toc2867147" </w:instrText>
      </w:r>
      <w:r>
        <w:rPr>
          <w:rFonts w:hint="default" w:ascii="Times New Roman" w:hAnsi="Times New Roman" w:cs="Times New Roman"/>
        </w:rPr>
        <w:fldChar w:fldCharType="separate"/>
      </w:r>
      <w:r>
        <w:rPr>
          <w:rFonts w:hint="default" w:ascii="Times New Roman" w:hAnsi="Times New Roman" w:cs="Times New Roman"/>
          <w:sz w:val="30"/>
          <w:szCs w:val="30"/>
        </w:rPr>
        <w:t>9.4 水质监测分析过程中的质量保证和质量控制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"_Toc2867147" </w:instrText>
      </w:r>
      <w:r>
        <w:rPr>
          <w:rFonts w:hint="default" w:ascii="Times New Roman" w:hAnsi="Times New Roman" w:cs="Times New Roman"/>
        </w:rPr>
        <w:fldChar w:fldCharType="separate"/>
      </w:r>
      <w:r>
        <w:rPr>
          <w:rFonts w:hint="default" w:ascii="Times New Roman" w:hAnsi="Times New Roman" w:cs="Times New Roman"/>
          <w:sz w:val="30"/>
          <w:szCs w:val="30"/>
        </w:rPr>
        <w:t>9.5 废气监测分析过程中的质量保证和质量控制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"_Toc2867148" </w:instrText>
      </w:r>
      <w:r>
        <w:rPr>
          <w:rFonts w:hint="default" w:ascii="Times New Roman" w:hAnsi="Times New Roman" w:cs="Times New Roman"/>
        </w:rPr>
        <w:fldChar w:fldCharType="separate"/>
      </w:r>
      <w:r>
        <w:rPr>
          <w:rFonts w:hint="default" w:ascii="Times New Roman" w:hAnsi="Times New Roman" w:cs="Times New Roman"/>
          <w:sz w:val="30"/>
          <w:szCs w:val="30"/>
        </w:rPr>
        <w:t>9.6 噪声监测分析过程中的质量保证和质量控制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_Toc2867148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"_Toc2867149" </w:instrText>
      </w:r>
      <w:r>
        <w:rPr>
          <w:rFonts w:hint="default" w:ascii="Times New Roman" w:hAnsi="Times New Roman" w:cs="Times New Roman"/>
        </w:rPr>
        <w:fldChar w:fldCharType="separate"/>
      </w:r>
      <w:r>
        <w:rPr>
          <w:rFonts w:hint="default" w:ascii="Times New Roman" w:hAnsi="Times New Roman" w:cs="Times New Roman"/>
          <w:b/>
          <w:sz w:val="30"/>
          <w:szCs w:val="30"/>
        </w:rPr>
        <w:t>10 验收监测结果与分析评价</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_Toc2867149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43</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"_Toc2867150" </w:instrText>
      </w:r>
      <w:r>
        <w:rPr>
          <w:rFonts w:hint="default" w:ascii="Times New Roman" w:hAnsi="Times New Roman" w:cs="Times New Roman"/>
        </w:rPr>
        <w:fldChar w:fldCharType="separate"/>
      </w:r>
      <w:r>
        <w:rPr>
          <w:rFonts w:hint="default" w:ascii="Times New Roman" w:hAnsi="Times New Roman" w:cs="Times New Roman"/>
          <w:sz w:val="30"/>
          <w:szCs w:val="30"/>
        </w:rPr>
        <w:t>10.1 生产工况</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_Toc2867150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"_Toc2867151" </w:instrText>
      </w:r>
      <w:r>
        <w:rPr>
          <w:rFonts w:hint="default" w:ascii="Times New Roman" w:hAnsi="Times New Roman" w:cs="Times New Roman"/>
        </w:rPr>
        <w:fldChar w:fldCharType="separate"/>
      </w:r>
      <w:r>
        <w:rPr>
          <w:rFonts w:hint="default" w:ascii="Times New Roman" w:hAnsi="Times New Roman" w:cs="Times New Roman"/>
          <w:sz w:val="30"/>
          <w:szCs w:val="30"/>
        </w:rPr>
        <w:t>10.2 环境保护设施调试效果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_Toc2867151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27"/>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b/>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"_Toc2867152" </w:instrText>
      </w:r>
      <w:r>
        <w:rPr>
          <w:rFonts w:hint="default" w:ascii="Times New Roman" w:hAnsi="Times New Roman" w:cs="Times New Roman"/>
        </w:rPr>
        <w:fldChar w:fldCharType="separate"/>
      </w:r>
      <w:r>
        <w:rPr>
          <w:rFonts w:hint="default" w:ascii="Times New Roman" w:hAnsi="Times New Roman" w:cs="Times New Roman"/>
          <w:b/>
          <w:sz w:val="30"/>
          <w:szCs w:val="30"/>
        </w:rPr>
        <w:t>11 验收监测结论及建议</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_Toc2867152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50</w:t>
      </w:r>
      <w:r>
        <w:rPr>
          <w:rFonts w:hint="default" w:ascii="Times New Roman" w:hAnsi="Times New Roman" w:cs="Times New Roman"/>
          <w:b/>
          <w:sz w:val="30"/>
          <w:szCs w:val="30"/>
        </w:rPr>
        <w:fldChar w:fldCharType="end"/>
      </w:r>
      <w:r>
        <w:rPr>
          <w:rFonts w:hint="default" w:ascii="Times New Roman" w:hAnsi="Times New Roman" w:cs="Times New Roman"/>
          <w:b/>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"_Toc2867153" </w:instrText>
      </w:r>
      <w:r>
        <w:rPr>
          <w:rFonts w:hint="default" w:ascii="Times New Roman" w:hAnsi="Times New Roman" w:cs="Times New Roman"/>
        </w:rPr>
        <w:fldChar w:fldCharType="separate"/>
      </w:r>
      <w:r>
        <w:rPr>
          <w:rFonts w:hint="default" w:ascii="Times New Roman" w:hAnsi="Times New Roman" w:cs="Times New Roman"/>
          <w:sz w:val="30"/>
          <w:szCs w:val="30"/>
        </w:rPr>
        <w:t>11.1 验收监测结论</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_Toc2867153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31"/>
        <w:keepNext w:val="0"/>
        <w:keepLines w:val="0"/>
        <w:pageBreakBefore w:val="0"/>
        <w:widowControl w:val="0"/>
        <w:tabs>
          <w:tab w:val="right" w:leader="middleDot" w:pos="8495"/>
        </w:tabs>
        <w:kinsoku/>
        <w:wordWrap/>
        <w:overflowPunct/>
        <w:topLinePunct w:val="0"/>
        <w:autoSpaceDE/>
        <w:autoSpaceDN/>
        <w:bidi w:val="0"/>
        <w:adjustRightInd/>
        <w:snapToGrid/>
        <w:spacing w:line="560" w:lineRule="exact"/>
        <w:textAlignment w:val="auto"/>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"_Toc2867154" </w:instrText>
      </w:r>
      <w:r>
        <w:rPr>
          <w:rFonts w:hint="default" w:ascii="Times New Roman" w:hAnsi="Times New Roman" w:cs="Times New Roman"/>
        </w:rPr>
        <w:fldChar w:fldCharType="separate"/>
      </w:r>
      <w:r>
        <w:rPr>
          <w:rFonts w:hint="default" w:ascii="Times New Roman" w:hAnsi="Times New Roman" w:cs="Times New Roman"/>
          <w:sz w:val="30"/>
          <w:szCs w:val="30"/>
        </w:rPr>
        <w:t>11.2 建议</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_Toc2867154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75"/>
        <w:snapToGrid/>
        <w:ind w:firstLine="0" w:firstLineChars="0"/>
        <w:rPr>
          <w:rFonts w:hint="default" w:ascii="Times New Roman" w:hAnsi="Times New Roman" w:cs="Times New Roman"/>
          <w:b/>
          <w:sz w:val="30"/>
          <w:szCs w:val="30"/>
        </w:rPr>
      </w:pPr>
      <w:r>
        <w:rPr>
          <w:rFonts w:hint="default" w:ascii="Times New Roman" w:hAnsi="Times New Roman" w:cs="Times New Roman"/>
          <w:b/>
          <w:bCs/>
          <w:sz w:val="30"/>
          <w:szCs w:val="30"/>
        </w:rPr>
        <w:t>附</w:t>
      </w:r>
      <w:r>
        <w:rPr>
          <w:rFonts w:hint="default" w:ascii="Times New Roman" w:hAnsi="Times New Roman" w:cs="Times New Roman"/>
          <w:b/>
          <w:sz w:val="30"/>
          <w:szCs w:val="30"/>
        </w:rPr>
        <w:t>件：</w:t>
      </w:r>
    </w:p>
    <w:p>
      <w:pPr>
        <w:autoSpaceDE w:val="0"/>
        <w:autoSpaceDN w:val="0"/>
        <w:adjustRightInd w:val="0"/>
        <w:spacing w:line="360" w:lineRule="auto"/>
        <w:ind w:firstLine="560" w:firstLineChars="200"/>
        <w:rPr>
          <w:rFonts w:hint="default" w:ascii="Times New Roman" w:hAnsi="Times New Roman" w:cs="Times New Roman"/>
          <w:color w:val="000000"/>
          <w:spacing w:val="-40"/>
          <w:sz w:val="28"/>
          <w:szCs w:val="28"/>
        </w:rPr>
      </w:pPr>
      <w:r>
        <w:rPr>
          <w:rFonts w:hint="default" w:ascii="Times New Roman" w:hAnsi="Times New Roman" w:cs="Times New Roman"/>
          <w:color w:val="000000"/>
          <w:sz w:val="28"/>
          <w:szCs w:val="28"/>
        </w:rPr>
        <w:t>1</w:t>
      </w:r>
      <w:r>
        <w:rPr>
          <w:rFonts w:hint="default" w:ascii="Times New Roman" w:hAnsi="Times New Roman" w:cs="Times New Roman"/>
          <w:color w:val="000000"/>
          <w:spacing w:val="-60"/>
          <w:sz w:val="28"/>
          <w:szCs w:val="28"/>
        </w:rPr>
        <w:t>、</w:t>
      </w:r>
      <w:r>
        <w:rPr>
          <w:rFonts w:hint="default" w:ascii="Times New Roman" w:hAnsi="Times New Roman" w:cs="Times New Roman"/>
          <w:sz w:val="28"/>
          <w:szCs w:val="28"/>
        </w:rPr>
        <w:t>《</w:t>
      </w:r>
      <w:r>
        <w:rPr>
          <w:rFonts w:hint="default" w:ascii="Times New Roman" w:hAnsi="Times New Roman" w:cs="Times New Roman"/>
          <w:sz w:val="28"/>
          <w:szCs w:val="28"/>
          <w:lang w:eastAsia="zh-CN"/>
        </w:rPr>
        <w:t>关于平阳县万鹏表面处理有限公司年产 6000 吨五金件产品项目环境影响报告书审批意见</w:t>
      </w:r>
      <w:r>
        <w:rPr>
          <w:rFonts w:hint="default" w:ascii="Times New Roman" w:hAnsi="Times New Roman" w:cs="Times New Roman"/>
          <w:sz w:val="28"/>
          <w:szCs w:val="28"/>
        </w:rPr>
        <w:t>》(</w:t>
      </w:r>
      <w:r>
        <w:rPr>
          <w:rFonts w:hint="default" w:ascii="Times New Roman" w:hAnsi="Times New Roman" w:cs="Times New Roman"/>
          <w:sz w:val="28"/>
          <w:szCs w:val="28"/>
          <w:lang w:eastAsia="zh-CN"/>
        </w:rPr>
        <w:t>温州市生态环境局</w:t>
      </w:r>
      <w:r>
        <w:rPr>
          <w:rFonts w:hint="default" w:ascii="Times New Roman" w:hAnsi="Times New Roman" w:cs="Times New Roman"/>
          <w:sz w:val="28"/>
          <w:szCs w:val="28"/>
        </w:rPr>
        <w:t>，</w:t>
      </w:r>
      <w:r>
        <w:rPr>
          <w:rFonts w:hint="default" w:ascii="Times New Roman" w:hAnsi="Times New Roman" w:cs="Times New Roman"/>
          <w:sz w:val="28"/>
          <w:szCs w:val="28"/>
          <w:lang w:eastAsia="zh-CN"/>
        </w:rPr>
        <w:t>温环平建[2019]204号</w:t>
      </w:r>
      <w:r>
        <w:rPr>
          <w:rFonts w:hint="default" w:ascii="Times New Roman" w:hAnsi="Times New Roman" w:cs="Times New Roman"/>
          <w:sz w:val="28"/>
          <w:szCs w:val="28"/>
        </w:rPr>
        <w:t>，</w:t>
      </w:r>
      <w:r>
        <w:rPr>
          <w:rFonts w:hint="default" w:ascii="Times New Roman" w:hAnsi="Times New Roman" w:cs="Times New Roman"/>
          <w:sz w:val="28"/>
          <w:szCs w:val="28"/>
          <w:lang w:eastAsia="zh-CN"/>
        </w:rPr>
        <w:t>2019年12月2日</w:t>
      </w:r>
      <w:r>
        <w:rPr>
          <w:rFonts w:hint="default" w:ascii="Times New Roman" w:hAnsi="Times New Roman" w:cs="Times New Roman"/>
          <w:spacing w:val="-40"/>
          <w:sz w:val="28"/>
          <w:szCs w:val="28"/>
        </w:rPr>
        <w:t>)</w:t>
      </w:r>
      <w:r>
        <w:rPr>
          <w:rFonts w:hint="default" w:ascii="Times New Roman" w:hAnsi="Times New Roman" w:cs="Times New Roman"/>
          <w:sz w:val="28"/>
          <w:szCs w:val="28"/>
        </w:rPr>
        <w:t>；</w:t>
      </w:r>
    </w:p>
    <w:p>
      <w:pPr>
        <w:autoSpaceDE w:val="0"/>
        <w:autoSpaceDN w:val="0"/>
        <w:adjustRightIn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2、企业主要设备、耗材清单、</w:t>
      </w:r>
      <w:r>
        <w:rPr>
          <w:rFonts w:hint="default" w:ascii="Times New Roman" w:hAnsi="Times New Roman" w:cs="Times New Roman"/>
          <w:color w:val="000000"/>
          <w:sz w:val="28"/>
          <w:szCs w:val="28"/>
          <w:lang w:val="en-US" w:eastAsia="zh-CN"/>
        </w:rPr>
        <w:t>8-10</w:t>
      </w:r>
      <w:r>
        <w:rPr>
          <w:rFonts w:hint="default" w:ascii="Times New Roman" w:hAnsi="Times New Roman" w:cs="Times New Roman"/>
          <w:color w:val="000000"/>
          <w:sz w:val="28"/>
          <w:szCs w:val="28"/>
        </w:rPr>
        <w:t>月用水量、危废协议</w:t>
      </w:r>
      <w:r>
        <w:rPr>
          <w:rFonts w:hint="eastAsia" w:cs="Times New Roman"/>
          <w:color w:val="000000"/>
          <w:sz w:val="28"/>
          <w:szCs w:val="28"/>
          <w:lang w:eastAsia="zh-CN"/>
        </w:rPr>
        <w:t>、排污许可证</w:t>
      </w:r>
      <w:r>
        <w:rPr>
          <w:rFonts w:hint="default" w:ascii="Times New Roman" w:hAnsi="Times New Roman" w:cs="Times New Roman"/>
          <w:color w:val="000000"/>
          <w:sz w:val="28"/>
          <w:szCs w:val="28"/>
        </w:rPr>
        <w:t>；</w:t>
      </w:r>
    </w:p>
    <w:p>
      <w:pPr>
        <w:autoSpaceDE w:val="0"/>
        <w:autoSpaceDN w:val="0"/>
        <w:adjustRightIn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3、验收监测项目基本情况调查表、验收检测期间有关情况记录表；</w:t>
      </w:r>
    </w:p>
    <w:p>
      <w:pPr>
        <w:autoSpaceDE w:val="0"/>
        <w:autoSpaceDN w:val="0"/>
        <w:adjustRightInd w:val="0"/>
        <w:spacing w:line="360" w:lineRule="auto"/>
        <w:ind w:firstLine="560" w:firstLineChars="200"/>
        <w:rPr>
          <w:rFonts w:hint="default" w:ascii="Times New Roman" w:hAnsi="Times New Roman" w:cs="Times New Roman"/>
          <w:color w:val="000000"/>
          <w:szCs w:val="28"/>
        </w:rPr>
      </w:pPr>
      <w:r>
        <w:rPr>
          <w:rFonts w:hint="default" w:ascii="Times New Roman" w:hAnsi="Times New Roman" w:cs="Times New Roman"/>
          <w:color w:val="000000"/>
          <w:sz w:val="28"/>
          <w:szCs w:val="28"/>
        </w:rPr>
        <w:t>4、检验检测报告（废水、废气、噪声）；</w:t>
      </w:r>
    </w:p>
    <w:p>
      <w:pPr>
        <w:pStyle w:val="75"/>
        <w:snapToGrid/>
        <w:ind w:firstLine="0" w:firstLineChars="0"/>
        <w:rPr>
          <w:rFonts w:hint="default" w:ascii="Times New Roman" w:hAnsi="Times New Roman" w:cs="Times New Roman"/>
          <w:color w:val="000000"/>
          <w:szCs w:val="28"/>
        </w:rPr>
      </w:pPr>
      <w:r>
        <w:rPr>
          <w:rFonts w:hint="default" w:ascii="Times New Roman" w:hAnsi="Times New Roman" w:cs="Times New Roman"/>
          <w:b/>
          <w:bCs/>
          <w:sz w:val="30"/>
          <w:szCs w:val="30"/>
        </w:rPr>
        <w:t>附表</w:t>
      </w:r>
      <w:r>
        <w:rPr>
          <w:rFonts w:hint="default" w:ascii="Times New Roman" w:hAnsi="Times New Roman" w:cs="Times New Roman"/>
          <w:b/>
          <w:sz w:val="30"/>
          <w:szCs w:val="30"/>
        </w:rPr>
        <w:t>：</w:t>
      </w:r>
      <w:r>
        <w:rPr>
          <w:rFonts w:hint="default" w:ascii="Times New Roman" w:hAnsi="Times New Roman" w:cs="Times New Roman"/>
          <w:color w:val="000000"/>
          <w:szCs w:val="28"/>
        </w:rPr>
        <w:t>建设项目竣工环境保护“三同时”验收登记表。</w:t>
      </w:r>
    </w:p>
    <w:p>
      <w:pPr>
        <w:pStyle w:val="75"/>
        <w:snapToGrid/>
        <w:ind w:firstLine="0" w:firstLineChars="0"/>
        <w:rPr>
          <w:rFonts w:hint="default" w:ascii="Times New Roman" w:hAnsi="Times New Roman" w:eastAsia="黑体" w:cs="Times New Roman"/>
          <w:sz w:val="36"/>
        </w:rPr>
        <w:sectPr>
          <w:pgSz w:w="11907" w:h="16840"/>
          <w:pgMar w:top="1418" w:right="1701" w:bottom="1418" w:left="1701" w:header="851" w:footer="992" w:gutter="0"/>
          <w:cols w:space="720" w:num="1"/>
          <w:docGrid w:type="lines" w:linePitch="312" w:charSpace="0"/>
        </w:sectPr>
      </w:pPr>
      <w:r>
        <w:rPr>
          <w:rFonts w:hint="default" w:ascii="Times New Roman" w:hAnsi="Times New Roman" w:cs="Times New Roman"/>
          <w:sz w:val="32"/>
          <w:szCs w:val="32"/>
        </w:rPr>
        <w:fldChar w:fldCharType="end"/>
      </w:r>
    </w:p>
    <w:bookmarkEnd w:id="0"/>
    <w:p>
      <w:pPr>
        <w:pStyle w:val="97"/>
        <w:keepNext w:val="0"/>
        <w:keepLines w:val="0"/>
        <w:pageBreakBefore w:val="0"/>
        <w:widowControl w:val="0"/>
        <w:kinsoku/>
        <w:wordWrap/>
        <w:overflowPunct/>
        <w:topLinePunct w:val="0"/>
        <w:bidi w:val="0"/>
        <w:spacing w:before="0" w:beforeLines="0" w:after="0" w:afterLines="0"/>
        <w:textAlignment w:val="auto"/>
        <w:rPr>
          <w:rFonts w:hint="default" w:ascii="Times New Roman" w:hAnsi="Times New Roman" w:cs="Times New Roman"/>
        </w:rPr>
      </w:pPr>
      <w:bookmarkStart w:id="55" w:name="_Toc523410778"/>
      <w:bookmarkStart w:id="56" w:name="_Toc2867122"/>
      <w:r>
        <w:rPr>
          <w:rFonts w:hint="default" w:ascii="Times New Roman" w:hAnsi="Times New Roman" w:cs="Times New Roman"/>
        </w:rPr>
        <w:t>1 验收项目概况</w:t>
      </w:r>
      <w:bookmarkEnd w:id="55"/>
      <w:bookmarkEnd w:id="56"/>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18" w:firstLine="560" w:firstLineChars="200"/>
        <w:textAlignment w:val="auto"/>
        <w:rPr>
          <w:rFonts w:hint="default" w:ascii="Times New Roman" w:hAnsi="Times New Roman" w:eastAsia="宋体" w:cs="Times New Roman"/>
          <w:kern w:val="2"/>
          <w:sz w:val="28"/>
          <w:szCs w:val="28"/>
          <w:lang w:val="en-US" w:eastAsia="zh-CN" w:bidi="ar-SA"/>
        </w:rPr>
      </w:pPr>
      <w:bookmarkStart w:id="57" w:name="_Toc273447935"/>
      <w:bookmarkStart w:id="58" w:name="_Toc12184451"/>
      <w:bookmarkStart w:id="59" w:name="_Toc273447640"/>
      <w:r>
        <w:rPr>
          <w:rFonts w:hint="default" w:ascii="Times New Roman" w:hAnsi="Times New Roman" w:eastAsia="宋体" w:cs="Times New Roman"/>
          <w:kern w:val="2"/>
          <w:sz w:val="28"/>
          <w:szCs w:val="28"/>
          <w:lang w:val="en-US" w:eastAsia="zh-CN" w:bidi="ar-SA"/>
        </w:rPr>
        <w:t>平阳县万鹏表面处理有限公司位于平阳县宋埠海涂围垦区电镀园区C11地块，设4条全自动电镀生产线、4只手动镀槽；已审批总镀容43064升，其中自动生产线镀槽容量41220升，手动线镀槽容量1844升，自动化率为95.72%</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生产规模为年电镀加工卫浴洁具800万件，汽摩配件1000万件。</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18" w:firstLine="560" w:firstLineChars="200"/>
        <w:textAlignment w:val="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企业于2013年委托编制完成《平阳县滩涂围垦区C11地块厂房建设项目（平阳县万鹏表面处理有限公司迁建整合提升项目）环境影响报告书》，并于同年通过原平阳县环境保护局审批（平环建[2013]113号）；于2015年委托编制完成《平阳县滩涂围垦区C11地块厂房建设项目（平阳县万鹏表面处理有限公司迁建整合提升项目）环境影响后评价》，已经原平阳县环保局备案（备案号：2015015）。上述项目于2015年9月通过阶段性验收（平环验[2015]44号）。</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default" w:ascii="Times New Roman" w:hAnsi="Times New Roman" w:cs="Times New Roman"/>
          <w:sz w:val="28"/>
          <w:szCs w:val="28"/>
        </w:rPr>
      </w:pPr>
      <w:r>
        <w:rPr>
          <w:rFonts w:hint="default" w:ascii="Times New Roman" w:hAnsi="Times New Roman" w:eastAsia="宋体" w:cs="Times New Roman"/>
          <w:kern w:val="2"/>
          <w:sz w:val="28"/>
          <w:szCs w:val="28"/>
          <w:lang w:val="en-US" w:eastAsia="zh-CN" w:bidi="ar-SA"/>
        </w:rPr>
        <w:t>现企业拟投资210万元建设年产6000吨五金件产品项目，对各车间进行改建，将一车间二楼镀硬铬改为镀银工艺并增加超声研磨工艺，二车间二楼除油清洗线移至二车间一楼，二车间二楼喷漆酸洗线移至二车间四楼，二车间三楼电镀车间镀铜改为镀镍、镀铬工艺。改建后全厂共5条自动生产线、5只手动镀槽，镀铬容量不变，总体自动容量41627.8升，手动容量1436.2升，自动化率为96.66%，总镀容仍在原核定容量范围内，投产后全厂达到年产6000吨五金件产品的生产规模</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企业于</w:t>
      </w:r>
      <w:r>
        <w:rPr>
          <w:rFonts w:hint="default" w:ascii="Times New Roman" w:hAnsi="Times New Roman" w:cs="Times New Roman"/>
          <w:sz w:val="28"/>
          <w:szCs w:val="28"/>
          <w:lang w:eastAsia="zh-CN"/>
        </w:rPr>
        <w:t>2019年11月</w:t>
      </w:r>
      <w:r>
        <w:rPr>
          <w:rFonts w:hint="default" w:ascii="Times New Roman" w:hAnsi="Times New Roman" w:cs="Times New Roman"/>
          <w:sz w:val="28"/>
          <w:szCs w:val="28"/>
        </w:rPr>
        <w:t>委托</w:t>
      </w:r>
      <w:r>
        <w:rPr>
          <w:rFonts w:hint="default" w:ascii="Times New Roman" w:hAnsi="Times New Roman" w:cs="Times New Roman"/>
          <w:sz w:val="28"/>
          <w:szCs w:val="28"/>
          <w:lang w:eastAsia="zh-CN"/>
        </w:rPr>
        <w:t>浙江中蓝环境科技有限公司</w:t>
      </w:r>
      <w:r>
        <w:rPr>
          <w:rFonts w:hint="default" w:ascii="Times New Roman" w:hAnsi="Times New Roman" w:cs="Times New Roman"/>
          <w:sz w:val="28"/>
          <w:szCs w:val="28"/>
        </w:rPr>
        <w:t>编制完成了《</w:t>
      </w:r>
      <w:r>
        <w:rPr>
          <w:rFonts w:hint="default" w:ascii="Times New Roman" w:hAnsi="Times New Roman" w:cs="Times New Roman"/>
          <w:sz w:val="28"/>
          <w:szCs w:val="28"/>
          <w:lang w:eastAsia="zh-CN"/>
        </w:rPr>
        <w:t>平阳县万鹏表面处理有限公司年产6000吨五金件产品项目</w:t>
      </w:r>
      <w:r>
        <w:rPr>
          <w:rFonts w:hint="default" w:ascii="Times New Roman" w:hAnsi="Times New Roman" w:cs="Times New Roman"/>
          <w:sz w:val="28"/>
          <w:szCs w:val="28"/>
        </w:rPr>
        <w:t>环境影响</w:t>
      </w:r>
      <w:r>
        <w:rPr>
          <w:rFonts w:hint="default" w:ascii="Times New Roman" w:hAnsi="Times New Roman" w:cs="Times New Roman"/>
          <w:sz w:val="28"/>
          <w:szCs w:val="28"/>
          <w:lang w:eastAsia="zh-CN"/>
        </w:rPr>
        <w:t>报告书</w:t>
      </w:r>
      <w:r>
        <w:rPr>
          <w:rFonts w:hint="default" w:ascii="Times New Roman" w:hAnsi="Times New Roman" w:cs="Times New Roman"/>
          <w:sz w:val="28"/>
          <w:szCs w:val="28"/>
        </w:rPr>
        <w:t>》，</w:t>
      </w:r>
      <w:r>
        <w:rPr>
          <w:rFonts w:hint="default" w:ascii="Times New Roman" w:hAnsi="Times New Roman" w:cs="Times New Roman"/>
          <w:sz w:val="28"/>
          <w:szCs w:val="28"/>
          <w:lang w:eastAsia="zh-CN"/>
        </w:rPr>
        <w:t>2019年12月2日</w:t>
      </w:r>
      <w:r>
        <w:rPr>
          <w:rFonts w:hint="default" w:ascii="Times New Roman" w:hAnsi="Times New Roman" w:cs="Times New Roman"/>
          <w:sz w:val="28"/>
          <w:szCs w:val="28"/>
        </w:rPr>
        <w:t>通过</w:t>
      </w:r>
      <w:r>
        <w:rPr>
          <w:rFonts w:hint="default" w:ascii="Times New Roman" w:hAnsi="Times New Roman" w:cs="Times New Roman"/>
          <w:sz w:val="28"/>
          <w:szCs w:val="28"/>
          <w:lang w:eastAsia="zh-CN"/>
        </w:rPr>
        <w:t>温州市生态环境局</w:t>
      </w:r>
      <w:r>
        <w:rPr>
          <w:rFonts w:hint="default" w:ascii="Times New Roman" w:hAnsi="Times New Roman" w:cs="Times New Roman"/>
          <w:sz w:val="28"/>
          <w:szCs w:val="28"/>
        </w:rPr>
        <w:t>审批(</w:t>
      </w:r>
      <w:r>
        <w:rPr>
          <w:rFonts w:hint="default" w:ascii="Times New Roman" w:hAnsi="Times New Roman" w:cs="Times New Roman"/>
          <w:sz w:val="28"/>
          <w:szCs w:val="28"/>
          <w:lang w:eastAsia="zh-CN"/>
        </w:rPr>
        <w:t>温环平建[2019]204号</w:t>
      </w:r>
      <w:r>
        <w:rPr>
          <w:rFonts w:hint="default" w:ascii="Times New Roman" w:hAnsi="Times New Roman" w:cs="Times New Roman"/>
          <w:sz w:val="28"/>
          <w:szCs w:val="28"/>
        </w:rPr>
        <w:t>)。</w:t>
      </w:r>
      <w:r>
        <w:rPr>
          <w:rFonts w:hint="eastAsia" w:cs="Times New Roman"/>
          <w:sz w:val="28"/>
          <w:szCs w:val="28"/>
          <w:lang w:eastAsia="zh-CN"/>
        </w:rPr>
        <w:t>改建</w:t>
      </w:r>
      <w:r>
        <w:rPr>
          <w:rFonts w:hint="default" w:ascii="Times New Roman" w:hAnsi="Times New Roman" w:cs="Times New Roman"/>
          <w:sz w:val="28"/>
          <w:szCs w:val="28"/>
        </w:rPr>
        <w:t>项目于2019年</w:t>
      </w:r>
      <w:r>
        <w:rPr>
          <w:rFonts w:hint="default" w:ascii="Times New Roman" w:hAnsi="Times New Roman" w:cs="Times New Roman"/>
          <w:sz w:val="28"/>
          <w:szCs w:val="28"/>
          <w:lang w:val="en-US" w:eastAsia="zh-CN"/>
        </w:rPr>
        <w:t>12</w:t>
      </w:r>
      <w:r>
        <w:rPr>
          <w:rFonts w:hint="default" w:ascii="Times New Roman" w:hAnsi="Times New Roman" w:cs="Times New Roman"/>
          <w:sz w:val="28"/>
          <w:szCs w:val="28"/>
        </w:rPr>
        <w:t>月开工，20</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月竣工并投入生产。</w:t>
      </w:r>
      <w:r>
        <w:rPr>
          <w:rFonts w:hint="eastAsia" w:cs="Times New Roman"/>
          <w:sz w:val="28"/>
          <w:szCs w:val="28"/>
          <w:lang w:eastAsia="zh-CN"/>
        </w:rPr>
        <w:t>改建</w:t>
      </w:r>
      <w:r>
        <w:rPr>
          <w:rFonts w:hint="default" w:ascii="Times New Roman" w:hAnsi="Times New Roman" w:cs="Times New Roman"/>
          <w:color w:val="000000" w:themeColor="text1"/>
          <w:sz w:val="28"/>
          <w:szCs w:val="28"/>
          <w14:textFill>
            <w14:solidFill>
              <w14:schemeClr w14:val="tx1"/>
            </w14:solidFill>
          </w14:textFill>
        </w:rPr>
        <w:t>项目实际总投资</w:t>
      </w:r>
      <w:r>
        <w:rPr>
          <w:rFonts w:hint="default" w:ascii="Times New Roman" w:hAnsi="Times New Roman" w:cs="Times New Roman"/>
          <w:color w:val="000000" w:themeColor="text1"/>
          <w:sz w:val="28"/>
          <w:szCs w:val="28"/>
          <w:lang w:val="en-US" w:eastAsia="zh-CN"/>
          <w14:textFill>
            <w14:solidFill>
              <w14:schemeClr w14:val="tx1"/>
            </w14:solidFill>
          </w14:textFill>
        </w:rPr>
        <w:t>150</w:t>
      </w:r>
      <w:r>
        <w:rPr>
          <w:rFonts w:hint="default" w:ascii="Times New Roman" w:hAnsi="Times New Roman" w:cs="Times New Roman"/>
          <w:color w:val="000000" w:themeColor="text1"/>
          <w:sz w:val="28"/>
          <w:szCs w:val="28"/>
          <w14:textFill>
            <w14:solidFill>
              <w14:schemeClr w14:val="tx1"/>
            </w14:solidFill>
          </w14:textFill>
        </w:rPr>
        <w:t>万</w:t>
      </w:r>
      <w:r>
        <w:rPr>
          <w:rFonts w:hint="default" w:ascii="Times New Roman" w:hAnsi="Times New Roman" w:cs="Times New Roman"/>
          <w:sz w:val="28"/>
          <w:szCs w:val="28"/>
        </w:rPr>
        <w:t>元，其中环保投资</w:t>
      </w:r>
      <w:r>
        <w:rPr>
          <w:rFonts w:hint="default" w:ascii="Times New Roman" w:hAnsi="Times New Roman" w:cs="Times New Roman"/>
          <w:sz w:val="28"/>
          <w:szCs w:val="28"/>
          <w:lang w:val="en-US" w:eastAsia="zh-CN"/>
        </w:rPr>
        <w:t>30</w:t>
      </w:r>
      <w:r>
        <w:rPr>
          <w:rFonts w:hint="default" w:ascii="Times New Roman" w:hAnsi="Times New Roman" w:cs="Times New Roman"/>
          <w:sz w:val="28"/>
          <w:szCs w:val="28"/>
        </w:rPr>
        <w:t>万元，占总投资额的</w:t>
      </w: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eastAsia="zh-CN"/>
        </w:rPr>
        <w:t>由于</w:t>
      </w:r>
      <w:r>
        <w:rPr>
          <w:rFonts w:hint="default" w:ascii="Times New Roman" w:hAnsi="Times New Roman" w:eastAsia="宋体" w:cs="Times New Roman"/>
          <w:kern w:val="2"/>
          <w:sz w:val="28"/>
          <w:szCs w:val="28"/>
          <w:lang w:val="en-US" w:eastAsia="zh-CN" w:bidi="ar-SA"/>
        </w:rPr>
        <w:t>一车间二楼镀银工艺</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超声研磨工艺</w:t>
      </w:r>
      <w:r>
        <w:rPr>
          <w:rFonts w:hint="default" w:ascii="Times New Roman" w:hAnsi="Times New Roman" w:cs="Times New Roman"/>
          <w:kern w:val="2"/>
          <w:sz w:val="28"/>
          <w:szCs w:val="28"/>
          <w:lang w:val="en-US" w:eastAsia="zh-CN" w:bidi="ar-SA"/>
        </w:rPr>
        <w:t>并未投产，</w:t>
      </w:r>
      <w:r>
        <w:rPr>
          <w:rFonts w:hint="default" w:ascii="Times New Roman" w:hAnsi="Times New Roman" w:eastAsia="宋体" w:cs="Times New Roman"/>
          <w:kern w:val="2"/>
          <w:sz w:val="28"/>
          <w:szCs w:val="28"/>
          <w:lang w:val="en-US" w:eastAsia="zh-CN" w:bidi="ar-SA"/>
        </w:rPr>
        <w:t>二车间二楼喷漆酸洗线移至二车间四楼</w:t>
      </w:r>
      <w:r>
        <w:rPr>
          <w:rFonts w:hint="default" w:ascii="Times New Roman" w:hAnsi="Times New Roman" w:cs="Times New Roman"/>
          <w:kern w:val="2"/>
          <w:sz w:val="28"/>
          <w:szCs w:val="28"/>
          <w:lang w:val="en-US" w:eastAsia="zh-CN" w:bidi="ar-SA"/>
        </w:rPr>
        <w:t>（实际未投产），此次</w:t>
      </w:r>
      <w:r>
        <w:rPr>
          <w:rFonts w:hint="eastAsia" w:cs="Times New Roman"/>
          <w:kern w:val="2"/>
          <w:sz w:val="28"/>
          <w:szCs w:val="28"/>
          <w:lang w:val="en-US" w:eastAsia="zh-CN" w:bidi="ar-SA"/>
        </w:rPr>
        <w:t>为</w:t>
      </w:r>
      <w:r>
        <w:rPr>
          <w:rFonts w:hint="default" w:ascii="Times New Roman" w:hAnsi="Times New Roman" w:cs="Times New Roman"/>
          <w:kern w:val="2"/>
          <w:sz w:val="28"/>
          <w:szCs w:val="28"/>
          <w:lang w:val="en-US" w:eastAsia="zh-CN" w:bidi="ar-SA"/>
        </w:rPr>
        <w:t>阶段性验收。</w:t>
      </w:r>
      <w:r>
        <w:rPr>
          <w:rFonts w:hint="eastAsia" w:cs="Times New Roman"/>
          <w:kern w:val="2"/>
          <w:sz w:val="28"/>
          <w:szCs w:val="28"/>
          <w:lang w:val="en-US" w:eastAsia="zh-CN" w:bidi="ar-SA"/>
        </w:rPr>
        <w:t>原</w:t>
      </w:r>
      <w:r>
        <w:rPr>
          <w:rFonts w:hint="default" w:ascii="Times New Roman" w:hAnsi="Times New Roman" w:cs="Times New Roman"/>
          <w:sz w:val="28"/>
          <w:szCs w:val="28"/>
        </w:rPr>
        <w:t>迁建整合提升项目</w:t>
      </w:r>
      <w:r>
        <w:rPr>
          <w:rFonts w:hint="default" w:ascii="Times New Roman" w:hAnsi="Times New Roman" w:eastAsia="宋体" w:cs="Times New Roman"/>
          <w:kern w:val="2"/>
          <w:sz w:val="28"/>
          <w:szCs w:val="28"/>
          <w:lang w:val="en-US" w:eastAsia="zh-CN" w:bidi="ar-SA"/>
        </w:rPr>
        <w:t>阶段性验收（平环验[2015]44号）</w:t>
      </w:r>
      <w:r>
        <w:rPr>
          <w:rFonts w:hint="default" w:ascii="Times New Roman" w:hAnsi="Times New Roman" w:cs="Times New Roman"/>
          <w:kern w:val="2"/>
          <w:sz w:val="28"/>
          <w:szCs w:val="28"/>
          <w:lang w:val="en-US" w:eastAsia="zh-CN" w:bidi="ar-SA"/>
        </w:rPr>
        <w:t>中一车间2F未验收的自动喷漆车间</w:t>
      </w:r>
      <w:r>
        <w:rPr>
          <w:rFonts w:hint="eastAsia" w:cs="Times New Roman"/>
          <w:kern w:val="2"/>
          <w:sz w:val="28"/>
          <w:szCs w:val="28"/>
          <w:lang w:val="en-US" w:eastAsia="zh-CN" w:bidi="ar-SA"/>
        </w:rPr>
        <w:t>现</w:t>
      </w:r>
      <w:r>
        <w:rPr>
          <w:rFonts w:hint="default" w:ascii="Times New Roman" w:hAnsi="Times New Roman" w:cs="Times New Roman"/>
          <w:kern w:val="2"/>
          <w:sz w:val="28"/>
          <w:szCs w:val="28"/>
          <w:lang w:val="en-US" w:eastAsia="zh-CN" w:bidi="ar-SA"/>
        </w:rPr>
        <w:t>已建设完善，与本项目合并一同验收，</w:t>
      </w:r>
      <w:r>
        <w:rPr>
          <w:rFonts w:hint="default" w:ascii="Times New Roman" w:hAnsi="Times New Roman" w:cs="Times New Roman"/>
          <w:color w:val="000000"/>
          <w:sz w:val="28"/>
          <w:szCs w:val="28"/>
        </w:rPr>
        <w:t>目前</w:t>
      </w:r>
      <w:r>
        <w:rPr>
          <w:rFonts w:hint="default" w:ascii="Times New Roman" w:hAnsi="Times New Roman" w:cs="Times New Roman"/>
          <w:sz w:val="28"/>
          <w:szCs w:val="28"/>
        </w:rPr>
        <w:t>《</w:t>
      </w:r>
      <w:r>
        <w:rPr>
          <w:rFonts w:hint="default" w:ascii="Times New Roman" w:hAnsi="Times New Roman" w:cs="Times New Roman"/>
          <w:sz w:val="28"/>
          <w:szCs w:val="28"/>
          <w:lang w:eastAsia="zh-CN"/>
        </w:rPr>
        <w:t>平阳县万鹏表面处理有限公司年产6000吨五金件产品项目</w:t>
      </w:r>
      <w:r>
        <w:rPr>
          <w:rFonts w:hint="default" w:ascii="Times New Roman" w:hAnsi="Times New Roman" w:cs="Times New Roman"/>
          <w:sz w:val="28"/>
          <w:szCs w:val="28"/>
        </w:rPr>
        <w:t>环境影响</w:t>
      </w:r>
      <w:r>
        <w:rPr>
          <w:rFonts w:hint="default" w:ascii="Times New Roman" w:hAnsi="Times New Roman" w:cs="Times New Roman"/>
          <w:sz w:val="28"/>
          <w:szCs w:val="28"/>
          <w:lang w:eastAsia="zh-CN"/>
        </w:rPr>
        <w:t>报告书</w:t>
      </w:r>
      <w:r>
        <w:rPr>
          <w:rFonts w:hint="default" w:ascii="Times New Roman" w:hAnsi="Times New Roman" w:cs="Times New Roman"/>
          <w:sz w:val="28"/>
          <w:szCs w:val="28"/>
        </w:rPr>
        <w:t>》（阶段性）及</w:t>
      </w:r>
      <w:r>
        <w:rPr>
          <w:rFonts w:hint="default" w:ascii="Times New Roman" w:hAnsi="Times New Roman" w:cs="Times New Roman"/>
          <w:sz w:val="28"/>
          <w:szCs w:val="28"/>
          <w:lang w:eastAsia="zh-CN"/>
        </w:rPr>
        <w:t>平阳县万鹏表面处理有限公司</w:t>
      </w:r>
      <w:r>
        <w:rPr>
          <w:rFonts w:hint="default" w:ascii="Times New Roman" w:hAnsi="Times New Roman" w:cs="Times New Roman"/>
          <w:sz w:val="28"/>
          <w:szCs w:val="28"/>
        </w:rPr>
        <w:t>迁建整合提升项目</w:t>
      </w:r>
      <w:r>
        <w:rPr>
          <w:rFonts w:hint="eastAsia" w:cs="Times New Roman"/>
          <w:sz w:val="28"/>
          <w:szCs w:val="28"/>
          <w:lang w:eastAsia="zh-CN"/>
        </w:rPr>
        <w:t>中</w:t>
      </w:r>
      <w:r>
        <w:rPr>
          <w:rFonts w:hint="default" w:ascii="Times New Roman" w:hAnsi="Times New Roman" w:cs="Times New Roman"/>
          <w:sz w:val="28"/>
          <w:szCs w:val="28"/>
          <w:lang w:val="en-US" w:eastAsia="zh-CN"/>
        </w:rPr>
        <w:t>2F自动喷漆车间</w:t>
      </w:r>
      <w:r>
        <w:rPr>
          <w:rFonts w:hint="default" w:ascii="Times New Roman" w:hAnsi="Times New Roman" w:cs="Times New Roman"/>
          <w:color w:val="000000"/>
          <w:sz w:val="28"/>
          <w:szCs w:val="28"/>
        </w:rPr>
        <w:t>的</w:t>
      </w:r>
      <w:r>
        <w:rPr>
          <w:rFonts w:hint="default" w:ascii="Times New Roman" w:hAnsi="Times New Roman" w:cs="Times New Roman"/>
          <w:sz w:val="28"/>
          <w:szCs w:val="28"/>
        </w:rPr>
        <w:t>工程工况稳定</w:t>
      </w:r>
      <w:r>
        <w:rPr>
          <w:rFonts w:hint="default" w:ascii="Times New Roman" w:hAnsi="Times New Roman" w:cs="Times New Roman"/>
          <w:color w:val="000000"/>
          <w:sz w:val="28"/>
          <w:szCs w:val="28"/>
        </w:rPr>
        <w:t>，</w:t>
      </w:r>
      <w:r>
        <w:rPr>
          <w:rFonts w:hint="default" w:ascii="Times New Roman" w:hAnsi="Times New Roman" w:cs="Times New Roman"/>
          <w:sz w:val="28"/>
          <w:szCs w:val="28"/>
        </w:rPr>
        <w:t>各</w:t>
      </w:r>
      <w:r>
        <w:rPr>
          <w:rFonts w:hint="default" w:ascii="Times New Roman" w:hAnsi="Times New Roman" w:cs="Times New Roman"/>
          <w:color w:val="000000"/>
          <w:sz w:val="28"/>
          <w:szCs w:val="28"/>
        </w:rPr>
        <w:t>环保设施运行正常，具备了环境保护竣工验收监测的条件</w:t>
      </w:r>
      <w:r>
        <w:rPr>
          <w:rFonts w:hint="default" w:ascii="Times New Roman" w:hAnsi="Times New Roman" w:cs="Times New Roman"/>
          <w:color w:val="000000"/>
          <w:sz w:val="28"/>
          <w:szCs w:val="28"/>
          <w:lang w:eastAsia="zh-CN"/>
        </w:rPr>
        <w:t>，企业历年环评验收情况详见表</w:t>
      </w:r>
      <w:r>
        <w:rPr>
          <w:rFonts w:hint="default" w:ascii="Times New Roman" w:hAnsi="Times New Roman" w:cs="Times New Roman"/>
          <w:color w:val="000000"/>
          <w:sz w:val="28"/>
          <w:szCs w:val="28"/>
          <w:lang w:val="en-US" w:eastAsia="zh-CN"/>
        </w:rPr>
        <w:t>1-1</w:t>
      </w:r>
      <w:r>
        <w:rPr>
          <w:rFonts w:hint="default" w:ascii="Times New Roman" w:hAnsi="Times New Roman" w:cs="Times New Roman"/>
          <w:color w:val="000000"/>
          <w:sz w:val="28"/>
          <w:szCs w:val="28"/>
        </w:rPr>
        <w:t>。</w:t>
      </w:r>
    </w:p>
    <w:p>
      <w:pPr>
        <w:pStyle w:val="16"/>
        <w:keepNext w:val="0"/>
        <w:keepLines w:val="0"/>
        <w:pageBreakBefore w:val="0"/>
        <w:widowControl w:val="0"/>
        <w:kinsoku/>
        <w:wordWrap/>
        <w:overflowPunct/>
        <w:topLinePunct w:val="0"/>
        <w:autoSpaceDE/>
        <w:autoSpaceDN/>
        <w:bidi w:val="0"/>
        <w:spacing w:line="240" w:lineRule="auto"/>
        <w:ind w:left="0" w:leftChars="0" w:right="117" w:firstLine="0" w:firstLineChars="0"/>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表</w:t>
      </w:r>
      <w:r>
        <w:rPr>
          <w:rFonts w:hint="default" w:ascii="Times New Roman" w:hAnsi="Times New Roman" w:eastAsia="楷体" w:cs="Times New Roman"/>
          <w:sz w:val="28"/>
          <w:szCs w:val="28"/>
          <w:lang w:val="en-US" w:eastAsia="zh-CN"/>
        </w:rPr>
        <w:t>1</w:t>
      </w:r>
      <w:r>
        <w:rPr>
          <w:rFonts w:hint="default" w:ascii="Times New Roman" w:hAnsi="Times New Roman" w:eastAsia="楷体" w:cs="Times New Roman"/>
          <w:sz w:val="28"/>
          <w:szCs w:val="28"/>
        </w:rPr>
        <w:t>-1 企业</w:t>
      </w:r>
      <w:r>
        <w:rPr>
          <w:rFonts w:hint="default" w:ascii="Times New Roman" w:hAnsi="Times New Roman" w:eastAsia="楷体" w:cs="Times New Roman"/>
          <w:sz w:val="28"/>
          <w:szCs w:val="28"/>
          <w:lang w:eastAsia="zh-CN"/>
        </w:rPr>
        <w:t>历年验收情况</w:t>
      </w:r>
      <w:r>
        <w:rPr>
          <w:rFonts w:hint="default" w:ascii="Times New Roman" w:hAnsi="Times New Roman" w:eastAsia="楷体" w:cs="Times New Roman"/>
          <w:sz w:val="28"/>
          <w:szCs w:val="28"/>
        </w:rPr>
        <w:t>表</w:t>
      </w:r>
    </w:p>
    <w:tbl>
      <w:tblPr>
        <w:tblStyle w:val="38"/>
        <w:tblW w:w="7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2868"/>
        <w:gridCol w:w="109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1"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环评</w:t>
            </w:r>
          </w:p>
        </w:tc>
        <w:tc>
          <w:tcPr>
            <w:tcW w:w="286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项目情况</w:t>
            </w:r>
          </w:p>
        </w:tc>
        <w:tc>
          <w:tcPr>
            <w:tcW w:w="10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批复文件</w:t>
            </w:r>
          </w:p>
        </w:tc>
        <w:tc>
          <w:tcPr>
            <w:tcW w:w="1591"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201" w:type="dxa"/>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lang w:val="en-US" w:eastAsia="zh-CN"/>
              </w:rPr>
            </w:pPr>
            <w:r>
              <w:rPr>
                <w:rFonts w:hint="default" w:ascii="Times New Roman" w:hAnsi="Times New Roman" w:cs="Times New Roman"/>
                <w:spacing w:val="2"/>
              </w:rPr>
              <w:t>《平阳县滩涂围垦区 C11 地块厂房建设项目（平阳县万鹏表面处理有限公司迁建整合提升项目）环境影响报告书》</w:t>
            </w:r>
          </w:p>
        </w:tc>
        <w:tc>
          <w:tcPr>
            <w:tcW w:w="2868"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设4条全自动电镀生产线、4只手动镀槽；已审批总镀容 43064 升，其中自动生产线镀槽容量41220升，手动线镀槽容量1844升，自动化率为95.72%</w:t>
            </w:r>
          </w:p>
        </w:tc>
        <w:tc>
          <w:tcPr>
            <w:tcW w:w="10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Calibri" w:cs="Times New Roman"/>
                <w:spacing w:val="2"/>
                <w:kern w:val="2"/>
                <w:sz w:val="21"/>
                <w:szCs w:val="24"/>
                <w:lang w:val="en-US" w:eastAsia="zh-CN" w:bidi="ar-SA"/>
              </w:rPr>
            </w:pPr>
            <w:r>
              <w:rPr>
                <w:rFonts w:hint="default" w:ascii="Times New Roman" w:hAnsi="Times New Roman" w:eastAsia="Calibri" w:cs="Times New Roman"/>
                <w:spacing w:val="2"/>
                <w:kern w:val="2"/>
                <w:sz w:val="21"/>
                <w:szCs w:val="24"/>
                <w:lang w:val="en-US" w:eastAsia="zh-CN" w:bidi="ar-SA"/>
              </w:rPr>
              <w:t>平环建[2013]113号</w:t>
            </w:r>
          </w:p>
        </w:tc>
        <w:tc>
          <w:tcPr>
            <w:tcW w:w="1591" w:type="dxa"/>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lang w:val="en-US" w:eastAsia="zh-CN"/>
              </w:rPr>
            </w:pPr>
            <w:r>
              <w:rPr>
                <w:rFonts w:hint="default" w:ascii="Times New Roman" w:hAnsi="Times New Roman" w:cs="Times New Roman"/>
                <w:spacing w:val="2"/>
              </w:rPr>
              <w:t xml:space="preserve"> 2015年9月通过阶段性验收（平环验[2015]44号）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1" w:type="dxa"/>
            <w:vMerge w:val="restart"/>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rPr>
            </w:pPr>
            <w:r>
              <w:rPr>
                <w:rFonts w:hint="default" w:ascii="Times New Roman" w:hAnsi="Times New Roman" w:cs="Times New Roman"/>
                <w:spacing w:val="2"/>
              </w:rPr>
              <w:t>《平阳县滩涂围垦区 C11地块厂房建设项目（平阳县万鹏表面处理有限公司迁建整合提升项目）环境影响后评价》</w:t>
            </w:r>
          </w:p>
        </w:tc>
        <w:tc>
          <w:tcPr>
            <w:tcW w:w="2868"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lang w:val="en-US" w:eastAsia="zh-CN"/>
              </w:rPr>
            </w:pPr>
          </w:p>
        </w:tc>
        <w:tc>
          <w:tcPr>
            <w:tcW w:w="1096" w:type="dxa"/>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rPr>
            </w:pPr>
            <w:r>
              <w:rPr>
                <w:rFonts w:hint="default" w:ascii="Times New Roman" w:hAnsi="Times New Roman" w:cs="Times New Roman"/>
                <w:spacing w:val="2"/>
              </w:rPr>
              <w:t>备案号：2015015</w:t>
            </w:r>
          </w:p>
        </w:tc>
        <w:tc>
          <w:tcPr>
            <w:tcW w:w="1591" w:type="dxa"/>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1" w:type="dxa"/>
            <w:vMerge w:val="continue"/>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rPr>
            </w:pPr>
          </w:p>
        </w:tc>
        <w:tc>
          <w:tcPr>
            <w:tcW w:w="2868" w:type="dxa"/>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lang w:val="en-US" w:eastAsia="zh-CN"/>
              </w:rPr>
            </w:pPr>
            <w:r>
              <w:rPr>
                <w:rFonts w:hint="default" w:ascii="Times New Roman" w:hAnsi="Times New Roman" w:cs="Times New Roman"/>
                <w:spacing w:val="2"/>
                <w:kern w:val="2"/>
                <w:sz w:val="21"/>
                <w:szCs w:val="24"/>
                <w:lang w:val="en-US" w:eastAsia="zh-CN" w:bidi="ar-SA"/>
              </w:rPr>
              <w:t>一车间2F未验收的自动喷漆车间</w:t>
            </w:r>
          </w:p>
        </w:tc>
        <w:tc>
          <w:tcPr>
            <w:tcW w:w="1096" w:type="dxa"/>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rPr>
            </w:pPr>
          </w:p>
        </w:tc>
        <w:tc>
          <w:tcPr>
            <w:tcW w:w="1591" w:type="dxa"/>
            <w:vMerge w:val="restart"/>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pacing w:val="2"/>
                <w:lang w:val="en-US" w:eastAsia="zh-CN"/>
              </w:rPr>
            </w:pPr>
            <w:r>
              <w:rPr>
                <w:rFonts w:hint="default" w:ascii="Times New Roman" w:hAnsi="Times New Roman" w:eastAsia="宋体" w:cs="Times New Roman"/>
                <w:spacing w:val="2"/>
                <w:lang w:val="en-US" w:eastAsia="zh-CN"/>
              </w:rPr>
              <w:t>本次验收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01" w:type="dxa"/>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rPr>
            </w:pPr>
            <w:r>
              <w:rPr>
                <w:rFonts w:hint="default" w:ascii="Times New Roman" w:hAnsi="Times New Roman" w:cs="Times New Roman"/>
                <w:spacing w:val="2"/>
              </w:rPr>
              <w:t>《平阳县万鹏表面处理有限公司年产 6000吨五金件产品项目环境影响报告书》</w:t>
            </w:r>
          </w:p>
        </w:tc>
        <w:tc>
          <w:tcPr>
            <w:tcW w:w="2868" w:type="dxa"/>
            <w:noWrap w:val="0"/>
            <w:vAlign w:val="center"/>
          </w:tcPr>
          <w:p>
            <w:pPr>
              <w:keepNext w:val="0"/>
              <w:keepLines w:val="0"/>
              <w:pageBreakBefore w:val="0"/>
              <w:widowControl w:val="0"/>
              <w:kinsoku/>
              <w:wordWrap/>
              <w:overflowPunct/>
              <w:topLinePunct w:val="0"/>
              <w:autoSpaceDE/>
              <w:autoSpaceDN/>
              <w:bidi w:val="0"/>
              <w:spacing w:line="240" w:lineRule="auto"/>
              <w:ind w:firstLine="428" w:firstLineChars="200"/>
              <w:jc w:val="both"/>
              <w:textAlignment w:val="auto"/>
              <w:rPr>
                <w:rFonts w:hint="default" w:ascii="Times New Roman" w:hAnsi="Times New Roman" w:cs="Times New Roman"/>
                <w:spacing w:val="2"/>
                <w:lang w:val="en-US" w:eastAsia="zh-CN"/>
              </w:rPr>
            </w:pPr>
            <w:r>
              <w:rPr>
                <w:rFonts w:hint="default" w:ascii="Times New Roman" w:hAnsi="Times New Roman" w:cs="Times New Roman"/>
                <w:spacing w:val="2"/>
                <w:lang w:val="en-US" w:eastAsia="zh-CN"/>
              </w:rPr>
              <w:t>将一车间二楼镀硬铬改为镀银工艺并增加超声研磨工艺， 二车间二楼除油清洗线移至二车间一楼，二车间二楼喷漆酸洗线移至二车间四楼，二车间三楼电镀车间镀铜改为镀镍、镀铬工艺。改建后全厂共 5条自动生产线、5只手动镀槽，镀铬容量不变，总体自动容量41627.8 升，手动容量1436.2升，自动化率为96.66%，总镀容不变仍在原核定容量范围内。</w:t>
            </w:r>
          </w:p>
        </w:tc>
        <w:tc>
          <w:tcPr>
            <w:tcW w:w="1096"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rPr>
            </w:pPr>
            <w:r>
              <w:rPr>
                <w:rFonts w:hint="default" w:ascii="Times New Roman" w:hAnsi="Times New Roman" w:cs="Times New Roman"/>
                <w:spacing w:val="2"/>
                <w:lang w:val="en-US" w:eastAsia="zh-CN"/>
              </w:rPr>
              <w:t>温环平建〔2019〕204号</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pacing w:val="2"/>
              </w:rPr>
            </w:pPr>
          </w:p>
        </w:tc>
        <w:tc>
          <w:tcPr>
            <w:tcW w:w="1591" w:type="dxa"/>
            <w:vMerge w:val="continue"/>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pacing w:val="2"/>
                <w:lang w:val="en-US" w:eastAsia="zh-CN"/>
              </w:rPr>
            </w:pPr>
          </w:p>
        </w:tc>
      </w:tr>
    </w:tbl>
    <w:p>
      <w:pPr>
        <w:keepNext w:val="0"/>
        <w:keepLines w:val="0"/>
        <w:pageBreakBefore w:val="0"/>
        <w:widowControl w:val="0"/>
        <w:kinsoku/>
        <w:wordWrap/>
        <w:overflowPunct/>
        <w:topLinePunct w:val="0"/>
        <w:autoSpaceDE w:val="0"/>
        <w:autoSpaceDN w:val="0"/>
        <w:bidi w:val="0"/>
        <w:spacing w:line="360" w:lineRule="auto"/>
        <w:ind w:firstLine="560" w:firstLineChars="200"/>
        <w:textAlignment w:val="auto"/>
        <w:rPr>
          <w:rFonts w:hint="default" w:ascii="Times New Roman" w:hAnsi="Times New Roman" w:cs="Times New Roman"/>
        </w:rPr>
      </w:pPr>
      <w:r>
        <w:rPr>
          <w:rFonts w:hint="default" w:ascii="Times New Roman" w:hAnsi="Times New Roman" w:cs="Times New Roman"/>
          <w:color w:val="000000"/>
          <w:sz w:val="28"/>
          <w:szCs w:val="28"/>
          <w:lang w:eastAsia="zh-CN"/>
        </w:rPr>
        <w:t>平阳县万鹏表面处理有限公司</w:t>
      </w:r>
      <w:r>
        <w:rPr>
          <w:rFonts w:hint="default" w:ascii="Times New Roman" w:hAnsi="Times New Roman" w:cs="Times New Roman"/>
          <w:color w:val="000000"/>
          <w:sz w:val="28"/>
          <w:szCs w:val="28"/>
        </w:rPr>
        <w:t>于2020年</w:t>
      </w:r>
      <w:r>
        <w:rPr>
          <w:rFonts w:hint="default" w:ascii="Times New Roman" w:hAnsi="Times New Roman" w:cs="Times New Roman"/>
          <w:color w:val="000000"/>
          <w:sz w:val="28"/>
          <w:szCs w:val="28"/>
          <w:lang w:val="en-US" w:eastAsia="zh-CN"/>
        </w:rPr>
        <w:t>11</w:t>
      </w:r>
      <w:r>
        <w:rPr>
          <w:rFonts w:hint="default" w:ascii="Times New Roman" w:hAnsi="Times New Roman" w:cs="Times New Roman"/>
          <w:color w:val="000000"/>
          <w:sz w:val="28"/>
          <w:szCs w:val="28"/>
        </w:rPr>
        <w:t>月特成立验收工作小组，同时委托温州新鸿检测技术有限公司承担该项目的环保验收检测工作，</w:t>
      </w:r>
      <w:r>
        <w:rPr>
          <w:rFonts w:hint="default" w:ascii="Times New Roman" w:hAnsi="Times New Roman" w:eastAsia="宋体" w:cs="Times New Roman"/>
          <w:kern w:val="2"/>
          <w:sz w:val="28"/>
          <w:szCs w:val="28"/>
          <w:lang w:val="en-US" w:eastAsia="zh-CN" w:bidi="ar-SA"/>
        </w:rPr>
        <w:t>根据中华人民共和国国务院第682号令《建设项目环境保护管理条例》、浙江省环境保护厅《浙江省环境保护厅建设项目竣工环境保护验收技术管理规定》的规定和要求</w:t>
      </w:r>
      <w:r>
        <w:rPr>
          <w:rFonts w:hint="default" w:ascii="Times New Roman" w:hAnsi="Times New Roman" w:cs="Times New Roman"/>
          <w:color w:val="000000"/>
          <w:sz w:val="28"/>
          <w:szCs w:val="28"/>
        </w:rPr>
        <w:t>，我公司于2020年</w:t>
      </w:r>
      <w:r>
        <w:rPr>
          <w:rFonts w:hint="default" w:ascii="Times New Roman" w:hAnsi="Times New Roman" w:cs="Times New Roman"/>
          <w:color w:val="000000"/>
          <w:sz w:val="28"/>
          <w:szCs w:val="28"/>
          <w:lang w:val="en-US" w:eastAsia="zh-CN"/>
        </w:rPr>
        <w:t>11</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日对该项目进行现场勘察，查阅并收集相关技术资料，编制该项目竣工环境保护验收监</w:t>
      </w:r>
      <w:r>
        <w:rPr>
          <w:rFonts w:hint="default" w:ascii="Times New Roman" w:hAnsi="Times New Roman" w:cs="Times New Roman"/>
          <w:color w:val="000000" w:themeColor="text1"/>
          <w:sz w:val="28"/>
          <w:szCs w:val="28"/>
          <w14:textFill>
            <w14:solidFill>
              <w14:schemeClr w14:val="tx1"/>
            </w14:solidFill>
          </w14:textFill>
        </w:rPr>
        <w:t>测方案，并于2020年</w:t>
      </w:r>
      <w:r>
        <w:rPr>
          <w:rFonts w:hint="default" w:ascii="Times New Roman" w:hAnsi="Times New Roman" w:cs="Times New Roman"/>
          <w:color w:val="000000" w:themeColor="text1"/>
          <w:sz w:val="28"/>
          <w:szCs w:val="28"/>
          <w:lang w:eastAsia="zh-CN"/>
          <w14:textFill>
            <w14:solidFill>
              <w14:schemeClr w14:val="tx1"/>
            </w14:solidFill>
          </w14:textFill>
        </w:rPr>
        <w:t>11月11日、12日</w:t>
      </w:r>
      <w:r>
        <w:rPr>
          <w:rFonts w:hint="default" w:ascii="Times New Roman" w:hAnsi="Times New Roman" w:cs="Times New Roman"/>
          <w:color w:val="000000" w:themeColor="text1"/>
          <w:sz w:val="28"/>
          <w:szCs w:val="28"/>
          <w14:textFill>
            <w14:solidFill>
              <w14:schemeClr w14:val="tx1"/>
            </w14:solidFill>
          </w14:textFill>
        </w:rPr>
        <w:t>在企业正常生产、环保设施正常运行的情况下组织现</w:t>
      </w:r>
      <w:r>
        <w:rPr>
          <w:rFonts w:hint="default" w:ascii="Times New Roman" w:hAnsi="Times New Roman" w:cs="Times New Roman"/>
          <w:sz w:val="28"/>
          <w:szCs w:val="28"/>
        </w:rPr>
        <w:t>场调查和监</w:t>
      </w:r>
      <w:r>
        <w:rPr>
          <w:rFonts w:hint="default" w:ascii="Times New Roman" w:hAnsi="Times New Roman" w:cs="Times New Roman"/>
          <w:color w:val="auto"/>
          <w:sz w:val="28"/>
          <w:szCs w:val="28"/>
        </w:rPr>
        <w:t>测，于2020年</w:t>
      </w:r>
      <w:r>
        <w:rPr>
          <w:rFonts w:hint="eastAsia" w:cs="Times New Roman"/>
          <w:color w:val="auto"/>
          <w:sz w:val="28"/>
          <w:szCs w:val="28"/>
          <w:lang w:eastAsia="zh-CN"/>
        </w:rPr>
        <w:t>11月11日</w:t>
      </w:r>
      <w:r>
        <w:rPr>
          <w:rFonts w:hint="default" w:ascii="Times New Roman" w:hAnsi="Times New Roman" w:cs="Times New Roman"/>
          <w:color w:val="auto"/>
          <w:sz w:val="28"/>
          <w:szCs w:val="28"/>
        </w:rPr>
        <w:t>至</w:t>
      </w:r>
      <w:r>
        <w:rPr>
          <w:rFonts w:hint="eastAsia" w:cs="Times New Roman"/>
          <w:color w:val="auto"/>
          <w:sz w:val="28"/>
          <w:szCs w:val="28"/>
          <w:lang w:val="en-US" w:eastAsia="zh-CN"/>
        </w:rPr>
        <w:t>18</w:t>
      </w:r>
      <w:r>
        <w:rPr>
          <w:rFonts w:hint="default" w:ascii="Times New Roman" w:hAnsi="Times New Roman" w:cs="Times New Roman"/>
          <w:color w:val="auto"/>
          <w:sz w:val="28"/>
          <w:szCs w:val="28"/>
        </w:rPr>
        <w:t>日组织对样品进行实验室分析，在此基础上编制了本验收监测</w:t>
      </w:r>
      <w:r>
        <w:rPr>
          <w:rFonts w:hint="default" w:ascii="Times New Roman" w:hAnsi="Times New Roman" w:cs="Times New Roman"/>
          <w:sz w:val="28"/>
          <w:szCs w:val="28"/>
        </w:rPr>
        <w:t>报告。</w:t>
      </w:r>
      <w:bookmarkEnd w:id="57"/>
      <w:bookmarkEnd w:id="58"/>
      <w:bookmarkEnd w:id="59"/>
      <w:r>
        <w:rPr>
          <w:rFonts w:hint="default" w:ascii="Times New Roman" w:hAnsi="Times New Roman" w:cs="Times New Roman"/>
        </w:rPr>
        <w:br w:type="page"/>
      </w:r>
      <w:bookmarkStart w:id="60" w:name="_Toc2867123"/>
      <w:bookmarkStart w:id="61" w:name="_Toc523410779"/>
      <w:r>
        <w:rPr>
          <w:rFonts w:hint="default" w:ascii="Times New Roman" w:hAnsi="Times New Roman" w:cs="Times New Roman"/>
          <w:b/>
          <w:bCs/>
          <w:kern w:val="28"/>
          <w:sz w:val="44"/>
          <w:szCs w:val="20"/>
        </w:rPr>
        <w:t>2 验收监测依据</w:t>
      </w:r>
      <w:bookmarkEnd w:id="60"/>
      <w:bookmarkEnd w:id="61"/>
    </w:p>
    <w:p>
      <w:pPr>
        <w:tabs>
          <w:tab w:val="left" w:pos="750"/>
        </w:tabs>
        <w:spacing w:line="360" w:lineRule="auto"/>
        <w:ind w:firstLine="560" w:firstLineChars="200"/>
        <w:rPr>
          <w:rFonts w:hint="default" w:ascii="Times New Roman" w:hAnsi="Times New Roman" w:cs="Times New Roman"/>
          <w:color w:val="000000"/>
          <w:sz w:val="28"/>
          <w:szCs w:val="28"/>
        </w:rPr>
      </w:pPr>
      <w:bookmarkStart w:id="62" w:name="_Toc273447642"/>
      <w:bookmarkStart w:id="63" w:name="_Toc12184453"/>
      <w:bookmarkStart w:id="64" w:name="_Toc273448114"/>
      <w:bookmarkStart w:id="65" w:name="_Toc273447937"/>
      <w:r>
        <w:rPr>
          <w:rFonts w:hint="default" w:ascii="Times New Roman" w:hAnsi="Times New Roman" w:cs="Times New Roman"/>
          <w:color w:val="000000"/>
          <w:sz w:val="28"/>
          <w:szCs w:val="28"/>
        </w:rPr>
        <w:t>2.1《建设项目环境保护管理条例》(国务院第682号令，2017年7月16日修改)；</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2.2《关于发布建设项目竣工环境保护验收暂行办法的公告》(国家环境保护部，国环规环评[2017]4号，2017年11月20日)；</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2.3《关于发布建设项目竣工环境保护验收技术指南污染影响类的公告》(生态环境部2018年第9号公告，2018年5月15日)；</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2.4《浙江省建设项目环境保护管理办法》(浙江省政府第364号令，2018年1月22日修订版)；</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2.5《建设项目竣工环境保护验收技术管理规定》(浙江省环境保护厅，浙环发[2009]89号，2010年1月4日)；</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2.6《关于印发温州市建设项目竣工环境保护验收指南的通知》(温环发[2018]24号，2018年4月10日)；</w:t>
      </w:r>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2.7《中华人民共和国固体废物污染环境防治法》（中华人民共和国主席令（第四十三号），2020年4月29日修订）；</w:t>
      </w:r>
    </w:p>
    <w:p>
      <w:pPr>
        <w:tabs>
          <w:tab w:val="left" w:pos="750"/>
        </w:tabs>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color w:val="000000"/>
          <w:sz w:val="28"/>
          <w:szCs w:val="28"/>
        </w:rPr>
        <w:t>2.7</w:t>
      </w:r>
      <w:r>
        <w:rPr>
          <w:rFonts w:hint="default" w:ascii="Times New Roman" w:hAnsi="Times New Roman" w:cs="Times New Roman"/>
          <w:sz w:val="28"/>
          <w:szCs w:val="28"/>
        </w:rPr>
        <w:t>《</w:t>
      </w:r>
      <w:r>
        <w:rPr>
          <w:rFonts w:hint="default" w:ascii="Times New Roman" w:hAnsi="Times New Roman" w:cs="Times New Roman"/>
          <w:sz w:val="28"/>
          <w:szCs w:val="28"/>
          <w:lang w:eastAsia="zh-CN"/>
        </w:rPr>
        <w:t>关于平阳县万鹏表面处理有限公司年产 6000 吨五金件产品项目环境影响报告书审批意见</w:t>
      </w:r>
      <w:r>
        <w:rPr>
          <w:rFonts w:hint="default" w:ascii="Times New Roman" w:hAnsi="Times New Roman" w:cs="Times New Roman"/>
          <w:sz w:val="28"/>
          <w:szCs w:val="28"/>
        </w:rPr>
        <w:t>》(</w:t>
      </w:r>
      <w:r>
        <w:rPr>
          <w:rFonts w:hint="default" w:ascii="Times New Roman" w:hAnsi="Times New Roman" w:cs="Times New Roman"/>
          <w:sz w:val="28"/>
          <w:szCs w:val="28"/>
          <w:lang w:eastAsia="zh-CN"/>
        </w:rPr>
        <w:t>温州市生态环境局</w:t>
      </w:r>
      <w:r>
        <w:rPr>
          <w:rFonts w:hint="default" w:ascii="Times New Roman" w:hAnsi="Times New Roman" w:cs="Times New Roman"/>
          <w:sz w:val="28"/>
          <w:szCs w:val="28"/>
        </w:rPr>
        <w:t>，</w:t>
      </w:r>
      <w:r>
        <w:rPr>
          <w:rFonts w:hint="default" w:ascii="Times New Roman" w:hAnsi="Times New Roman" w:cs="Times New Roman"/>
          <w:sz w:val="28"/>
          <w:szCs w:val="28"/>
          <w:lang w:eastAsia="zh-CN"/>
        </w:rPr>
        <w:t>温环平建[2019]204号</w:t>
      </w:r>
      <w:r>
        <w:rPr>
          <w:rFonts w:hint="default" w:ascii="Times New Roman" w:hAnsi="Times New Roman" w:cs="Times New Roman"/>
          <w:sz w:val="28"/>
          <w:szCs w:val="28"/>
        </w:rPr>
        <w:t>，</w:t>
      </w:r>
      <w:r>
        <w:rPr>
          <w:rFonts w:hint="default" w:ascii="Times New Roman" w:hAnsi="Times New Roman" w:cs="Times New Roman"/>
          <w:sz w:val="28"/>
          <w:szCs w:val="28"/>
          <w:lang w:eastAsia="zh-CN"/>
        </w:rPr>
        <w:t>2019年12月2日</w:t>
      </w:r>
      <w:r>
        <w:rPr>
          <w:rFonts w:hint="default" w:ascii="Times New Roman" w:hAnsi="Times New Roman" w:cs="Times New Roman"/>
          <w:spacing w:val="-40"/>
          <w:sz w:val="28"/>
          <w:szCs w:val="28"/>
        </w:rPr>
        <w:t>)</w:t>
      </w:r>
      <w:r>
        <w:rPr>
          <w:rFonts w:hint="default" w:ascii="Times New Roman" w:hAnsi="Times New Roman" w:cs="Times New Roman"/>
          <w:sz w:val="28"/>
          <w:szCs w:val="28"/>
        </w:rPr>
        <w:t>；</w:t>
      </w:r>
    </w:p>
    <w:p>
      <w:pPr>
        <w:tabs>
          <w:tab w:val="left" w:pos="750"/>
        </w:tabs>
        <w:spacing w:line="360" w:lineRule="auto"/>
        <w:ind w:firstLine="560" w:firstLineChars="200"/>
        <w:rPr>
          <w:rFonts w:hint="default" w:ascii="Times New Roman" w:hAnsi="Times New Roman" w:eastAsia="宋体" w:cs="Times New Roman"/>
          <w:color w:val="000000"/>
          <w:kern w:val="0"/>
          <w:sz w:val="28"/>
          <w:szCs w:val="28"/>
          <w:lang w:val="en-US" w:eastAsia="zh-CN" w:bidi="ar-SA"/>
        </w:rPr>
      </w:pPr>
      <w:r>
        <w:rPr>
          <w:rFonts w:hint="default" w:ascii="Times New Roman" w:hAnsi="Times New Roman" w:cs="Times New Roman"/>
          <w:sz w:val="28"/>
          <w:szCs w:val="28"/>
        </w:rPr>
        <w:t>2.8《</w:t>
      </w:r>
      <w:r>
        <w:rPr>
          <w:rFonts w:hint="default" w:ascii="Times New Roman" w:hAnsi="Times New Roman" w:cs="Times New Roman"/>
          <w:sz w:val="28"/>
          <w:szCs w:val="28"/>
          <w:lang w:eastAsia="zh-CN"/>
        </w:rPr>
        <w:t>平阳县万鹏表面处理有限公司年产6000吨五金件产品项目</w:t>
      </w:r>
      <w:r>
        <w:rPr>
          <w:rFonts w:hint="default" w:ascii="Times New Roman" w:hAnsi="Times New Roman" w:cs="Times New Roman"/>
          <w:sz w:val="28"/>
          <w:szCs w:val="28"/>
        </w:rPr>
        <w:t>环境影响</w:t>
      </w:r>
      <w:r>
        <w:rPr>
          <w:rFonts w:hint="default" w:ascii="Times New Roman" w:hAnsi="Times New Roman" w:cs="Times New Roman"/>
          <w:sz w:val="28"/>
          <w:szCs w:val="28"/>
          <w:lang w:eastAsia="zh-CN"/>
        </w:rPr>
        <w:t>报告书</w:t>
      </w:r>
      <w:r>
        <w:rPr>
          <w:rFonts w:hint="default" w:ascii="Times New Roman" w:hAnsi="Times New Roman" w:cs="Times New Roman"/>
          <w:sz w:val="28"/>
          <w:szCs w:val="28"/>
        </w:rPr>
        <w:t>》(</w:t>
      </w:r>
      <w:r>
        <w:rPr>
          <w:rFonts w:hint="default" w:ascii="Times New Roman" w:hAnsi="Times New Roman" w:cs="Times New Roman"/>
          <w:color w:val="000000"/>
          <w:sz w:val="28"/>
          <w:szCs w:val="28"/>
          <w:lang w:eastAsia="zh-CN"/>
        </w:rPr>
        <w:t>浙江</w:t>
      </w:r>
      <w:r>
        <w:rPr>
          <w:rFonts w:hint="default" w:ascii="Times New Roman" w:hAnsi="Times New Roman" w:eastAsia="宋体" w:cs="Times New Roman"/>
          <w:color w:val="000000"/>
          <w:kern w:val="0"/>
          <w:sz w:val="28"/>
          <w:szCs w:val="28"/>
          <w:lang w:val="en-US" w:eastAsia="zh-CN" w:bidi="ar-SA"/>
        </w:rPr>
        <w:t>中蓝环境科技有限公司，2019年11月)；</w:t>
      </w:r>
    </w:p>
    <w:p>
      <w:pPr>
        <w:pStyle w:val="75"/>
        <w:snapToGrid/>
        <w:ind w:firstLine="560"/>
        <w:jc w:val="both"/>
        <w:rPr>
          <w:rFonts w:hint="default" w:ascii="Times New Roman" w:hAnsi="Times New Roman" w:cs="Times New Roman"/>
          <w:color w:val="000000"/>
          <w:spacing w:val="-40"/>
          <w:szCs w:val="28"/>
          <w:lang w:val="en-US" w:eastAsia="zh-CN"/>
        </w:rPr>
      </w:pPr>
      <w:r>
        <w:rPr>
          <w:rFonts w:hint="default" w:ascii="Times New Roman" w:hAnsi="Times New Roman" w:eastAsia="宋体" w:cs="Times New Roman"/>
          <w:color w:val="000000"/>
          <w:kern w:val="0"/>
          <w:sz w:val="28"/>
          <w:szCs w:val="28"/>
          <w:lang w:val="en-US" w:eastAsia="zh-CN" w:bidi="ar-SA"/>
        </w:rPr>
        <w:t>2.9《关于平阳县滩涂围垦区C11地块</w:t>
      </w:r>
      <w:r>
        <w:rPr>
          <w:rFonts w:hint="eastAsia" w:ascii="Times New Roman" w:hAnsi="Times New Roman" w:cs="Times New Roman"/>
          <w:color w:val="000000"/>
          <w:kern w:val="0"/>
          <w:sz w:val="28"/>
          <w:szCs w:val="28"/>
          <w:lang w:val="en-US" w:eastAsia="zh-CN" w:bidi="ar-SA"/>
        </w:rPr>
        <w:t>新建</w:t>
      </w:r>
      <w:r>
        <w:rPr>
          <w:rFonts w:hint="default" w:ascii="Times New Roman" w:hAnsi="Times New Roman" w:eastAsia="宋体" w:cs="Times New Roman"/>
          <w:color w:val="000000"/>
          <w:kern w:val="0"/>
          <w:sz w:val="28"/>
          <w:szCs w:val="28"/>
          <w:lang w:val="en-US" w:eastAsia="zh-CN" w:bidi="ar-SA"/>
        </w:rPr>
        <w:t>厂房</w:t>
      </w:r>
      <w:r>
        <w:rPr>
          <w:rFonts w:hint="eastAsia" w:ascii="Times New Roman" w:hAnsi="Times New Roman" w:cs="Times New Roman"/>
          <w:color w:val="000000"/>
          <w:kern w:val="0"/>
          <w:sz w:val="28"/>
          <w:szCs w:val="28"/>
          <w:lang w:val="en-US" w:eastAsia="zh-CN" w:bidi="ar-SA"/>
        </w:rPr>
        <w:t>工程</w:t>
      </w:r>
      <w:r>
        <w:rPr>
          <w:rFonts w:hint="default" w:ascii="Times New Roman" w:hAnsi="Times New Roman" w:eastAsia="宋体" w:cs="Times New Roman"/>
          <w:color w:val="000000"/>
          <w:kern w:val="0"/>
          <w:sz w:val="28"/>
          <w:szCs w:val="28"/>
          <w:lang w:val="en-US" w:eastAsia="zh-CN" w:bidi="ar-SA"/>
        </w:rPr>
        <w:t>（平阳县万鹏表面处理有限公司迁建整合提升项目）环境影响报告书的审查意见》(</w:t>
      </w:r>
      <w:r>
        <w:rPr>
          <w:rFonts w:hint="eastAsia" w:ascii="Times New Roman" w:hAnsi="Times New Roman" w:cs="Times New Roman"/>
          <w:color w:val="000000"/>
          <w:kern w:val="0"/>
          <w:sz w:val="28"/>
          <w:szCs w:val="28"/>
          <w:lang w:val="en-US" w:eastAsia="zh-CN" w:bidi="ar-SA"/>
        </w:rPr>
        <w:t>平阳县环境保护局</w:t>
      </w:r>
      <w:r>
        <w:rPr>
          <w:rFonts w:hint="default" w:ascii="Times New Roman" w:hAnsi="Times New Roman" w:eastAsia="宋体" w:cs="Times New Roman"/>
          <w:color w:val="000000"/>
          <w:kern w:val="0"/>
          <w:sz w:val="28"/>
          <w:szCs w:val="28"/>
          <w:lang w:val="en-US" w:eastAsia="zh-CN" w:bidi="ar-SA"/>
        </w:rPr>
        <w:t>，平环建[2013]</w:t>
      </w:r>
      <w:r>
        <w:rPr>
          <w:rFonts w:hint="eastAsia" w:ascii="Times New Roman" w:hAnsi="Times New Roman" w:cs="Times New Roman"/>
          <w:color w:val="000000"/>
          <w:kern w:val="0"/>
          <w:sz w:val="28"/>
          <w:szCs w:val="28"/>
          <w:lang w:val="en-US" w:eastAsia="zh-CN" w:bidi="ar-SA"/>
        </w:rPr>
        <w:t>113</w:t>
      </w:r>
      <w:r>
        <w:rPr>
          <w:rFonts w:hint="default" w:ascii="Times New Roman" w:hAnsi="Times New Roman" w:eastAsia="宋体" w:cs="Times New Roman"/>
          <w:color w:val="000000"/>
          <w:kern w:val="0"/>
          <w:sz w:val="28"/>
          <w:szCs w:val="28"/>
          <w:lang w:val="en-US" w:eastAsia="zh-CN" w:bidi="ar-SA"/>
        </w:rPr>
        <w:t> 号，2013年</w:t>
      </w:r>
      <w:r>
        <w:rPr>
          <w:rFonts w:hint="default" w:ascii="Times New Roman" w:hAnsi="Times New Roman" w:cs="Times New Roman"/>
          <w:color w:val="000000"/>
          <w:szCs w:val="28"/>
          <w:lang w:val="en-US" w:eastAsia="zh-CN"/>
        </w:rPr>
        <w:t>12月</w:t>
      </w:r>
      <w:r>
        <w:rPr>
          <w:rFonts w:hint="default" w:ascii="Times New Roman" w:hAnsi="Times New Roman" w:cs="Times New Roman"/>
          <w:color w:val="000000"/>
          <w:szCs w:val="28"/>
        </w:rPr>
        <w:t>6</w:t>
      </w:r>
      <w:r>
        <w:rPr>
          <w:rFonts w:hint="default" w:ascii="Times New Roman" w:hAnsi="Times New Roman" w:cs="Times New Roman"/>
          <w:color w:val="000000"/>
          <w:szCs w:val="28"/>
          <w:lang w:val="en-US" w:eastAsia="zh-CN"/>
        </w:rPr>
        <w:t>日</w:t>
      </w:r>
      <w:r>
        <w:rPr>
          <w:rFonts w:hint="default" w:ascii="Times New Roman" w:hAnsi="Times New Roman" w:cs="Times New Roman"/>
          <w:color w:val="000000"/>
          <w:spacing w:val="-40"/>
          <w:szCs w:val="28"/>
          <w:lang w:val="en-US" w:eastAsia="zh-CN"/>
        </w:rPr>
        <w:t>)；</w:t>
      </w:r>
    </w:p>
    <w:p>
      <w:pPr>
        <w:tabs>
          <w:tab w:val="left" w:pos="750"/>
        </w:tabs>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kern w:val="0"/>
          <w:sz w:val="28"/>
          <w:szCs w:val="28"/>
        </w:rPr>
        <w:t>2.1</w:t>
      </w:r>
      <w:r>
        <w:rPr>
          <w:rFonts w:hint="eastAsia" w:ascii="Times New Roman" w:hAnsi="Times New Roman" w:cs="Times New Roman"/>
          <w:kern w:val="0"/>
          <w:sz w:val="28"/>
          <w:szCs w:val="28"/>
          <w:lang w:val="en-US" w:eastAsia="zh-CN"/>
        </w:rPr>
        <w:t>0</w:t>
      </w:r>
      <w:r>
        <w:rPr>
          <w:rFonts w:hint="default" w:ascii="Times New Roman" w:hAnsi="Times New Roman" w:cs="Times New Roman"/>
          <w:color w:val="000000"/>
          <w:spacing w:val="-6"/>
          <w:sz w:val="28"/>
          <w:szCs w:val="28"/>
          <w:lang w:eastAsia="zh-CN"/>
        </w:rPr>
        <w:t>平阳县万鹏表面处理有限公司</w:t>
      </w:r>
      <w:r>
        <w:rPr>
          <w:rFonts w:hint="default" w:ascii="Times New Roman" w:hAnsi="Times New Roman" w:cs="Times New Roman"/>
          <w:spacing w:val="-6"/>
          <w:sz w:val="28"/>
          <w:szCs w:val="28"/>
        </w:rPr>
        <w:t>《检测委</w:t>
      </w:r>
      <w:r>
        <w:rPr>
          <w:rFonts w:hint="default" w:ascii="Times New Roman" w:hAnsi="Times New Roman" w:cs="Times New Roman"/>
          <w:color w:val="000000" w:themeColor="text1"/>
          <w:spacing w:val="-6"/>
          <w:sz w:val="28"/>
          <w:szCs w:val="28"/>
          <w14:textFill>
            <w14:solidFill>
              <w14:schemeClr w14:val="tx1"/>
            </w14:solidFill>
          </w14:textFill>
        </w:rPr>
        <w:t>托单》</w:t>
      </w:r>
      <w:r>
        <w:rPr>
          <w:rFonts w:hint="default" w:ascii="Times New Roman" w:hAnsi="Times New Roman" w:cs="Times New Roman"/>
          <w:color w:val="000000" w:themeColor="text1"/>
          <w:sz w:val="28"/>
          <w:szCs w:val="28"/>
          <w14:textFill>
            <w14:solidFill>
              <w14:schemeClr w14:val="tx1"/>
            </w14:solidFill>
          </w14:textFill>
        </w:rPr>
        <w:t>(2020年</w:t>
      </w:r>
      <w:r>
        <w:rPr>
          <w:rFonts w:hint="eastAsia" w:ascii="Times New Roman" w:hAnsi="Times New Roman" w:cs="Times New Roman"/>
          <w:color w:val="000000" w:themeColor="text1"/>
          <w:sz w:val="28"/>
          <w:szCs w:val="28"/>
          <w:lang w:val="en-US" w:eastAsia="zh-CN"/>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月</w:t>
      </w:r>
      <w:r>
        <w:rPr>
          <w:rFonts w:hint="eastAsia" w:ascii="Times New Roman" w:hAnsi="Times New Roman" w:cs="Times New Roman"/>
          <w:color w:val="000000" w:themeColor="text1"/>
          <w:sz w:val="28"/>
          <w:szCs w:val="28"/>
          <w:lang w:val="en-US" w:eastAsia="zh-CN"/>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日)；</w:t>
      </w:r>
    </w:p>
    <w:p>
      <w:pPr>
        <w:pStyle w:val="75"/>
        <w:snapToGrid/>
        <w:ind w:firstLine="560"/>
        <w:jc w:val="both"/>
        <w:rPr>
          <w:rFonts w:hint="default" w:ascii="Times New Roman" w:hAnsi="Times New Roman" w:cs="Times New Roman"/>
          <w:sz w:val="30"/>
          <w:szCs w:val="30"/>
        </w:rPr>
      </w:pPr>
      <w:r>
        <w:rPr>
          <w:rFonts w:hint="default" w:ascii="Times New Roman" w:hAnsi="Times New Roman" w:cs="Times New Roman"/>
          <w:szCs w:val="28"/>
        </w:rPr>
        <w:t>2.1</w:t>
      </w:r>
      <w:r>
        <w:rPr>
          <w:rFonts w:hint="eastAsia" w:ascii="Times New Roman" w:hAnsi="Times New Roman" w:cs="Times New Roman"/>
          <w:szCs w:val="28"/>
          <w:lang w:val="en-US" w:eastAsia="zh-CN"/>
        </w:rPr>
        <w:t>1</w:t>
      </w:r>
      <w:r>
        <w:rPr>
          <w:rFonts w:hint="default" w:ascii="Times New Roman" w:hAnsi="Times New Roman" w:cs="Times New Roman"/>
          <w:color w:val="000000"/>
          <w:szCs w:val="21"/>
          <w:lang w:eastAsia="zh-CN"/>
        </w:rPr>
        <w:t>平阳县万鹏表面处理有限公司年产6000吨五金件产品项目</w:t>
      </w:r>
      <w:r>
        <w:rPr>
          <w:rFonts w:hint="default" w:ascii="Times New Roman" w:hAnsi="Times New Roman" w:cs="Times New Roman"/>
          <w:color w:val="000000"/>
          <w:szCs w:val="21"/>
        </w:rPr>
        <w:t>阶段性及迁建整合提升项目</w:t>
      </w:r>
      <w:r>
        <w:rPr>
          <w:rFonts w:hint="eastAsia" w:ascii="Times New Roman" w:hAnsi="Times New Roman" w:cs="Times New Roman"/>
          <w:color w:val="000000"/>
          <w:szCs w:val="21"/>
          <w:lang w:eastAsia="zh-CN"/>
        </w:rPr>
        <w:t>中的</w:t>
      </w:r>
      <w:r>
        <w:rPr>
          <w:rFonts w:hint="eastAsia" w:ascii="Times New Roman" w:hAnsi="Times New Roman" w:cs="Times New Roman"/>
          <w:color w:val="000000"/>
          <w:szCs w:val="21"/>
          <w:lang w:val="en-US" w:eastAsia="zh-CN"/>
        </w:rPr>
        <w:t>2F自动喷漆车间</w:t>
      </w:r>
      <w:r>
        <w:rPr>
          <w:rFonts w:hint="default" w:ascii="Times New Roman" w:hAnsi="Times New Roman" w:cs="Times New Roman"/>
          <w:szCs w:val="28"/>
        </w:rPr>
        <w:t>环保验收监测方案</w:t>
      </w:r>
      <w:r>
        <w:rPr>
          <w:rFonts w:hint="default" w:ascii="Times New Roman" w:hAnsi="Times New Roman" w:cs="Times New Roman"/>
          <w:spacing w:val="-40"/>
          <w:szCs w:val="28"/>
        </w:rPr>
        <w:t>。</w:t>
      </w:r>
      <w:bookmarkEnd w:id="62"/>
      <w:bookmarkEnd w:id="63"/>
      <w:bookmarkEnd w:id="64"/>
      <w:bookmarkEnd w:id="65"/>
      <w:r>
        <w:rPr>
          <w:rFonts w:hint="default" w:ascii="Times New Roman" w:hAnsi="Times New Roman" w:cs="Times New Roman"/>
        </w:rPr>
        <w:br w:type="page"/>
      </w:r>
      <w:bookmarkStart w:id="66" w:name="_Toc2867124"/>
      <w:bookmarkStart w:id="67" w:name="_Toc523410780"/>
      <w:r>
        <w:rPr>
          <w:rFonts w:hint="default" w:ascii="Times New Roman" w:hAnsi="Times New Roman" w:eastAsia="宋体" w:cs="Times New Roman"/>
          <w:b/>
          <w:bCs/>
          <w:kern w:val="28"/>
          <w:sz w:val="44"/>
          <w:szCs w:val="20"/>
          <w:lang w:val="en-US" w:eastAsia="zh-CN" w:bidi="ar-SA"/>
        </w:rPr>
        <w:t>3 工程建设情况</w:t>
      </w:r>
      <w:bookmarkEnd w:id="66"/>
      <w:bookmarkEnd w:id="67"/>
    </w:p>
    <w:p>
      <w:pPr>
        <w:pStyle w:val="34"/>
        <w:spacing w:beforeLines="0"/>
        <w:rPr>
          <w:rFonts w:hint="default" w:ascii="Times New Roman" w:hAnsi="Times New Roman" w:cs="Times New Roman"/>
        </w:rPr>
      </w:pPr>
      <w:bookmarkStart w:id="68" w:name="_Toc523410781"/>
      <w:bookmarkStart w:id="69" w:name="_Toc2867125"/>
      <w:bookmarkStart w:id="70" w:name="_Toc273447643"/>
      <w:bookmarkStart w:id="71" w:name="_Toc12184454"/>
      <w:bookmarkStart w:id="72" w:name="_Toc273448115"/>
      <w:bookmarkStart w:id="73" w:name="_Toc273447938"/>
      <w:r>
        <w:rPr>
          <w:rFonts w:hint="default" w:ascii="Times New Roman" w:hAnsi="Times New Roman" w:cs="Times New Roman"/>
        </w:rPr>
        <w:t>3.1 地理位置及平面布置</w:t>
      </w:r>
      <w:bookmarkEnd w:id="68"/>
      <w:bookmarkEnd w:id="69"/>
    </w:p>
    <w:p>
      <w:pPr>
        <w:tabs>
          <w:tab w:val="left" w:pos="757"/>
        </w:tabs>
        <w:spacing w:line="360" w:lineRule="auto"/>
        <w:ind w:firstLine="560" w:firstLineChars="200"/>
        <w:rPr>
          <w:rFonts w:hint="default" w:ascii="Times New Roman" w:hAnsi="Times New Roman" w:cs="Times New Roman"/>
          <w:spacing w:val="-40"/>
          <w:sz w:val="28"/>
        </w:rPr>
      </w:pPr>
      <w:bookmarkStart w:id="74" w:name="_Toc436059301"/>
      <w:r>
        <w:rPr>
          <w:rFonts w:hint="eastAsia" w:cs="Times New Roman"/>
          <w:sz w:val="28"/>
          <w:szCs w:val="28"/>
          <w:lang w:eastAsia="zh-CN"/>
        </w:rPr>
        <w:t>平阳县万鹏表面处理有限公司</w:t>
      </w:r>
      <w:r>
        <w:rPr>
          <w:rFonts w:hint="default" w:ascii="Times New Roman" w:hAnsi="Times New Roman" w:cs="Times New Roman"/>
          <w:sz w:val="28"/>
          <w:szCs w:val="28"/>
        </w:rPr>
        <w:t>位于</w:t>
      </w:r>
      <w:r>
        <w:rPr>
          <w:rFonts w:hint="eastAsia" w:cs="Times New Roman"/>
          <w:sz w:val="28"/>
          <w:szCs w:val="28"/>
          <w:lang w:eastAsia="zh-CN"/>
        </w:rPr>
        <w:t>平阳县宋埠海涂围垦区电镀园区C11地块</w:t>
      </w:r>
      <w:r>
        <w:rPr>
          <w:rFonts w:hint="default" w:ascii="Times New Roman" w:hAnsi="Times New Roman" w:cs="Times New Roman"/>
          <w:sz w:val="28"/>
          <w:szCs w:val="28"/>
        </w:rPr>
        <w:t>。项目东南侧</w:t>
      </w:r>
      <w:r>
        <w:rPr>
          <w:rFonts w:hint="eastAsia" w:cs="Times New Roman"/>
          <w:sz w:val="28"/>
          <w:szCs w:val="28"/>
          <w:lang w:eastAsia="zh-CN"/>
        </w:rPr>
        <w:t>为海昌路</w:t>
      </w:r>
      <w:r>
        <w:rPr>
          <w:rFonts w:hint="default" w:ascii="Times New Roman" w:hAnsi="Times New Roman" w:cs="Times New Roman"/>
          <w:sz w:val="28"/>
          <w:szCs w:val="28"/>
        </w:rPr>
        <w:t>，西南侧为</w:t>
      </w:r>
      <w:r>
        <w:rPr>
          <w:rFonts w:hint="eastAsia" w:cs="Times New Roman"/>
          <w:sz w:val="28"/>
          <w:szCs w:val="28"/>
          <w:lang w:eastAsia="zh-CN"/>
        </w:rPr>
        <w:t>诚联电镀</w:t>
      </w:r>
      <w:r>
        <w:rPr>
          <w:rFonts w:hint="default" w:ascii="Times New Roman" w:hAnsi="Times New Roman" w:cs="Times New Roman"/>
          <w:sz w:val="28"/>
          <w:szCs w:val="28"/>
        </w:rPr>
        <w:t>，西北侧为</w:t>
      </w:r>
      <w:r>
        <w:rPr>
          <w:rFonts w:hint="eastAsia" w:cs="Times New Roman"/>
          <w:sz w:val="28"/>
          <w:szCs w:val="28"/>
          <w:lang w:eastAsia="zh-CN"/>
        </w:rPr>
        <w:t>同发电镀</w:t>
      </w:r>
      <w:r>
        <w:rPr>
          <w:rFonts w:hint="default" w:ascii="Times New Roman" w:hAnsi="Times New Roman" w:cs="Times New Roman"/>
          <w:sz w:val="28"/>
          <w:szCs w:val="28"/>
        </w:rPr>
        <w:t>，东北侧</w:t>
      </w:r>
      <w:r>
        <w:rPr>
          <w:rFonts w:hint="eastAsia" w:cs="Times New Roman"/>
          <w:sz w:val="28"/>
          <w:szCs w:val="28"/>
          <w:lang w:eastAsia="zh-CN"/>
        </w:rPr>
        <w:t>为新平路</w:t>
      </w:r>
      <w:r>
        <w:rPr>
          <w:rFonts w:hint="default" w:ascii="Times New Roman" w:hAnsi="Times New Roman" w:cs="Times New Roman"/>
          <w:color w:val="000000"/>
          <w:sz w:val="28"/>
          <w:szCs w:val="28"/>
        </w:rPr>
        <w:t>。</w:t>
      </w:r>
      <w:r>
        <w:rPr>
          <w:rFonts w:hint="default" w:ascii="Times New Roman" w:hAnsi="Times New Roman" w:cs="Times New Roman"/>
          <w:sz w:val="28"/>
        </w:rPr>
        <w:t>项目地理位置</w:t>
      </w:r>
      <w:r>
        <w:rPr>
          <w:rFonts w:hint="default" w:ascii="Times New Roman" w:hAnsi="Times New Roman" w:cs="Times New Roman"/>
          <w:color w:val="000000"/>
          <w:sz w:val="28"/>
          <w:szCs w:val="28"/>
        </w:rPr>
        <w:t>见图3-1</w:t>
      </w:r>
      <w:r>
        <w:rPr>
          <w:rFonts w:hint="default" w:ascii="Times New Roman" w:hAnsi="Times New Roman" w:cs="Times New Roman"/>
          <w:spacing w:val="-40"/>
          <w:sz w:val="28"/>
        </w:rPr>
        <w:t>，</w:t>
      </w:r>
      <w:r>
        <w:rPr>
          <w:rFonts w:hint="default" w:ascii="Times New Roman" w:hAnsi="Times New Roman" w:cs="Times New Roman"/>
          <w:color w:val="000000"/>
          <w:sz w:val="28"/>
          <w:szCs w:val="28"/>
        </w:rPr>
        <w:t>厂区平面布置及污染源监测点见图3-2</w:t>
      </w:r>
      <w:r>
        <w:rPr>
          <w:rFonts w:hint="default" w:ascii="Times New Roman" w:hAnsi="Times New Roman" w:cs="Times New Roman"/>
          <w:spacing w:val="-40"/>
          <w:sz w:val="28"/>
        </w:rPr>
        <w:t>。</w:t>
      </w:r>
    </w:p>
    <w:p>
      <w:pPr>
        <w:tabs>
          <w:tab w:val="left" w:pos="757"/>
        </w:tabs>
        <w:jc w:val="center"/>
        <w:rPr>
          <w:rFonts w:hint="default" w:ascii="Times New Roman" w:hAnsi="Times New Roman" w:cs="Times New Roman"/>
          <w:color w:val="FF0000"/>
          <w:sz w:val="28"/>
          <w:szCs w:val="28"/>
        </w:rPr>
      </w:pPr>
      <w:r>
        <w:rPr>
          <w:rFonts w:hint="default" w:ascii="Times New Roman" w:hAnsi="Times New Roman" w:cs="Times New Roman"/>
          <w:kern w:val="0"/>
          <w:sz w:val="24"/>
        </w:rPr>
        <mc:AlternateContent>
          <mc:Choice Requires="wps">
            <w:drawing>
              <wp:anchor distT="0" distB="0" distL="114300" distR="114300" simplePos="0" relativeHeight="251642880" behindDoc="0" locked="0" layoutInCell="1" allowOverlap="1">
                <wp:simplePos x="0" y="0"/>
                <wp:positionH relativeFrom="column">
                  <wp:posOffset>4071620</wp:posOffset>
                </wp:positionH>
                <wp:positionV relativeFrom="paragraph">
                  <wp:posOffset>1042670</wp:posOffset>
                </wp:positionV>
                <wp:extent cx="960120" cy="269875"/>
                <wp:effectExtent l="659765" t="5080" r="18415" b="258445"/>
                <wp:wrapNone/>
                <wp:docPr id="35" name="矩形标注 54"/>
                <wp:cNvGraphicFramePr/>
                <a:graphic xmlns:a="http://schemas.openxmlformats.org/drawingml/2006/main">
                  <a:graphicData uri="http://schemas.microsoft.com/office/word/2010/wordprocessingShape">
                    <wps:wsp>
                      <wps:cNvSpPr/>
                      <wps:spPr>
                        <a:xfrm>
                          <a:off x="0" y="0"/>
                          <a:ext cx="960120" cy="269875"/>
                        </a:xfrm>
                        <a:prstGeom prst="wedgeRectCallout">
                          <a:avLst>
                            <a:gd name="adj1" fmla="val -114810"/>
                            <a:gd name="adj2" fmla="val 140931"/>
                          </a:avLst>
                        </a:prstGeom>
                        <a:solidFill>
                          <a:srgbClr val="FFFFFF"/>
                        </a:solidFill>
                        <a:ln w="3175" cap="flat" cmpd="sng">
                          <a:solidFill>
                            <a:srgbClr val="000000"/>
                          </a:solidFill>
                          <a:prstDash val="solid"/>
                          <a:miter/>
                          <a:headEnd type="none" w="med" len="med"/>
                          <a:tailEnd type="none" w="med" len="med"/>
                        </a:ln>
                      </wps:spPr>
                      <wps:txbx>
                        <w:txbxContent>
                          <w:p>
                            <w:pPr>
                              <w:jc w:val="left"/>
                              <w:rPr>
                                <w:sz w:val="18"/>
                                <w:szCs w:val="21"/>
                              </w:rPr>
                            </w:pPr>
                            <w:r>
                              <w:rPr>
                                <w:rFonts w:hint="eastAsia"/>
                                <w:sz w:val="18"/>
                                <w:szCs w:val="21"/>
                              </w:rPr>
                              <w:t>项目所在地</w:t>
                            </w:r>
                          </w:p>
                        </w:txbxContent>
                      </wps:txbx>
                      <wps:bodyPr upright="1"/>
                    </wps:wsp>
                  </a:graphicData>
                </a:graphic>
              </wp:anchor>
            </w:drawing>
          </mc:Choice>
          <mc:Fallback>
            <w:pict>
              <v:shape id="矩形标注 54" o:spid="_x0000_s1026" o:spt="61" type="#_x0000_t61" style="position:absolute;left:0pt;margin-left:320.6pt;margin-top:82.1pt;height:21.25pt;width:75.6pt;z-index:251642880;mso-width-relative:page;mso-height-relative:page;" fillcolor="#FFFFFF" filled="t" stroked="t" coordsize="21600,21600" o:gfxdata="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fqv8tkAAAALAQAADwAAAAAAAAABACAAAAAiAAAAZHJzL2Rv&#10;d25yZXYueG1sUEsBAhQAFAAAAAgAh07iQA0kkRg5AgAAkAQAAA4AAAAAAAAAAQAgAAAAKAEAAGRy&#10;cy9lMm9Eb2MueG1sUEsFBgAAAAAGAAYAWQEAANMFAAAAAA==&#10;" adj="-13999,41241">
                <v:fill on="t" focussize="0,0"/>
                <v:stroke weight="0.25pt" color="#000000" joinstyle="miter"/>
                <v:imagedata o:title=""/>
                <o:lock v:ext="edit" aspectratio="f"/>
                <v:textbox>
                  <w:txbxContent>
                    <w:p>
                      <w:pPr>
                        <w:jc w:val="left"/>
                        <w:rPr>
                          <w:sz w:val="18"/>
                          <w:szCs w:val="21"/>
                        </w:rPr>
                      </w:pPr>
                      <w:r>
                        <w:rPr>
                          <w:rFonts w:hint="eastAsia"/>
                          <w:sz w:val="18"/>
                          <w:szCs w:val="21"/>
                        </w:rPr>
                        <w:t>项目所在地</w:t>
                      </w:r>
                    </w:p>
                  </w:txbxContent>
                </v:textbox>
              </v:shape>
            </w:pict>
          </mc:Fallback>
        </mc:AlternateContent>
      </w:r>
      <w:r>
        <w:rPr>
          <w:rFonts w:hint="default" w:ascii="Times New Roman" w:hAnsi="Times New Roman" w:cs="Times New Roman"/>
          <w:kern w:val="0"/>
          <w:sz w:val="24"/>
        </w:rPr>
        <mc:AlternateContent>
          <mc:Choice Requires="wps">
            <w:drawing>
              <wp:anchor distT="0" distB="0" distL="114300" distR="114300" simplePos="0" relativeHeight="251640832" behindDoc="0" locked="0" layoutInCell="1" allowOverlap="1">
                <wp:simplePos x="0" y="0"/>
                <wp:positionH relativeFrom="column">
                  <wp:posOffset>5339080</wp:posOffset>
                </wp:positionH>
                <wp:positionV relativeFrom="paragraph">
                  <wp:posOffset>95885</wp:posOffset>
                </wp:positionV>
                <wp:extent cx="409575" cy="232410"/>
                <wp:effectExtent l="0" t="0" r="0" b="0"/>
                <wp:wrapNone/>
                <wp:docPr id="33" name="文本框 169"/>
                <wp:cNvGraphicFramePr/>
                <a:graphic xmlns:a="http://schemas.openxmlformats.org/drawingml/2006/main">
                  <a:graphicData uri="http://schemas.microsoft.com/office/word/2010/wordprocessingShape">
                    <wps:wsp>
                      <wps:cNvSpPr txBox="1"/>
                      <wps:spPr>
                        <a:xfrm>
                          <a:off x="0" y="0"/>
                          <a:ext cx="409575" cy="232410"/>
                        </a:xfrm>
                        <a:prstGeom prst="rect">
                          <a:avLst/>
                        </a:prstGeom>
                        <a:noFill/>
                        <a:ln w="0">
                          <a:noFill/>
                        </a:ln>
                      </wps:spPr>
                      <wps:txbx>
                        <w:txbxContent>
                          <w:p>
                            <w:r>
                              <w:rPr>
                                <w:rFonts w:hint="eastAsia"/>
                              </w:rPr>
                              <w:t>N</w:t>
                            </w:r>
                          </w:p>
                        </w:txbxContent>
                      </wps:txbx>
                      <wps:bodyPr upright="1"/>
                    </wps:wsp>
                  </a:graphicData>
                </a:graphic>
              </wp:anchor>
            </w:drawing>
          </mc:Choice>
          <mc:Fallback>
            <w:pict>
              <v:shape id="文本框 169" o:spid="_x0000_s1026" o:spt="202" type="#_x0000_t202" style="position:absolute;left:0pt;margin-left:420.4pt;margin-top:7.55pt;height:18.3pt;width:32.25pt;z-index:251640832;mso-width-relative:page;mso-height-relative:page;" filled="f" stroked="f" coordsize="21600,21600" o:gfxdata="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HtqH2AAAAAkBAAAPAAAAAAAAAAEAIAAAACIAAABkcnMvZG93bnJldi54bWxQSwECFAAUAAAA&#10;CACHTuJAQkzFu7UBAABWAwAADgAAAAAAAAABACAAAAAnAQAAZHJzL2Uyb0RvYy54bWxQSwUGAAAA&#10;AAYABgBZAQAATgUAAAAA&#10;">
                <v:fill on="f" focussize="0,0"/>
                <v:stroke on="f" weight="0pt"/>
                <v:imagedata o:title=""/>
                <o:lock v:ext="edit" aspectratio="f"/>
                <v:textbox>
                  <w:txbxContent>
                    <w:p>
                      <w:r>
                        <w:rPr>
                          <w:rFonts w:hint="eastAsia"/>
                        </w:rPr>
                        <w:t>N</w:t>
                      </w:r>
                    </w:p>
                  </w:txbxContent>
                </v:textbox>
              </v:shape>
            </w:pict>
          </mc:Fallback>
        </mc:AlternateContent>
      </w:r>
      <w:r>
        <w:rPr>
          <w:rFonts w:hint="default" w:ascii="Times New Roman" w:hAnsi="Times New Roman" w:cs="Times New Roman"/>
          <w:kern w:val="0"/>
          <w:sz w:val="24"/>
        </w:rPr>
        <mc:AlternateContent>
          <mc:Choice Requires="wps">
            <w:drawing>
              <wp:anchor distT="0" distB="0" distL="114300" distR="114300" simplePos="0" relativeHeight="251634688" behindDoc="0" locked="0" layoutInCell="1" allowOverlap="1">
                <wp:simplePos x="0" y="0"/>
                <wp:positionH relativeFrom="column">
                  <wp:posOffset>5358130</wp:posOffset>
                </wp:positionH>
                <wp:positionV relativeFrom="paragraph">
                  <wp:posOffset>71120</wp:posOffset>
                </wp:positionV>
                <wp:extent cx="635" cy="254000"/>
                <wp:effectExtent l="37465" t="0" r="38100" b="12700"/>
                <wp:wrapNone/>
                <wp:docPr id="31" name="自选图形 1392"/>
                <wp:cNvGraphicFramePr/>
                <a:graphic xmlns:a="http://schemas.openxmlformats.org/drawingml/2006/main">
                  <a:graphicData uri="http://schemas.microsoft.com/office/word/2010/wordprocessingShape">
                    <wps:wsp>
                      <wps:cNvCnPr/>
                      <wps:spPr>
                        <a:xfrm flipV="1">
                          <a:off x="0" y="0"/>
                          <a:ext cx="635" cy="254000"/>
                        </a:xfrm>
                        <a:prstGeom prst="straightConnector1">
                          <a:avLst/>
                        </a:prstGeom>
                        <a:ln w="0" cap="flat" cmpd="sng">
                          <a:solidFill>
                            <a:srgbClr val="000001"/>
                          </a:solidFill>
                          <a:prstDash val="solid"/>
                          <a:headEnd type="none" w="med" len="med"/>
                          <a:tailEnd type="triangle" w="med" len="med"/>
                        </a:ln>
                      </wps:spPr>
                      <wps:bodyPr/>
                    </wps:wsp>
                  </a:graphicData>
                </a:graphic>
              </wp:anchor>
            </w:drawing>
          </mc:Choice>
          <mc:Fallback>
            <w:pict>
              <v:shape id="自选图形 1392" o:spid="_x0000_s1026" o:spt="32" type="#_x0000_t32" style="position:absolute;left:0pt;flip:y;margin-left:421.9pt;margin-top:5.6pt;height:20pt;width:0.05pt;z-index:251634688;mso-width-relative:page;mso-height-relative:page;" filled="f" stroked="t" coordsize="21600,21600" o:gfxdata="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nsXdUAAAAJAQAADwAAAAAAAAABACAAAAAiAAAAZHJz&#10;L2Rvd25yZXYueG1sUEsBAhQAFAAAAAgAh07iQBG1quQHAgAA8wMAAA4AAAAAAAAAAQAgAAAAJAEA&#10;AGRycy9lMm9Eb2MueG1sUEsFBgAAAAAGAAYAWQEAAJ0FAAAAAA==&#10;">
                <v:fill on="f" focussize="0,0"/>
                <v:stroke weight="0pt" color="#000001" joinstyle="round" endarrow="block"/>
                <v:imagedata o:title=""/>
                <o:lock v:ext="edit" aspectratio="f"/>
              </v:shape>
            </w:pict>
          </mc:Fallback>
        </mc:AlternateContent>
      </w:r>
    </w:p>
    <w:p>
      <w:pPr>
        <w:tabs>
          <w:tab w:val="left" w:pos="757"/>
        </w:tabs>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图3-1 项目地理位置图</w:t>
      </w:r>
    </w:p>
    <w:p>
      <w:pPr>
        <w:tabs>
          <w:tab w:val="left" w:pos="757"/>
        </w:tabs>
        <w:spacing w:line="360" w:lineRule="auto"/>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33664" behindDoc="0" locked="0" layoutInCell="1" allowOverlap="1">
                <wp:simplePos x="0" y="0"/>
                <wp:positionH relativeFrom="column">
                  <wp:posOffset>2011680</wp:posOffset>
                </wp:positionH>
                <wp:positionV relativeFrom="paragraph">
                  <wp:posOffset>1350010</wp:posOffset>
                </wp:positionV>
                <wp:extent cx="536575" cy="294005"/>
                <wp:effectExtent l="0" t="0" r="0" b="0"/>
                <wp:wrapNone/>
                <wp:docPr id="29" name="文本框 5380"/>
                <wp:cNvGraphicFramePr/>
                <a:graphic xmlns:a="http://schemas.openxmlformats.org/drawingml/2006/main">
                  <a:graphicData uri="http://schemas.microsoft.com/office/word/2010/wordprocessingShape">
                    <wps:wsp>
                      <wps:cNvSpPr txBox="1"/>
                      <wps:spPr>
                        <a:xfrm>
                          <a:off x="975995" y="1425575"/>
                          <a:ext cx="351790" cy="490855"/>
                        </a:xfrm>
                        <a:prstGeom prst="rect">
                          <a:avLst/>
                        </a:prstGeom>
                        <a:noFill/>
                        <a:ln>
                          <a:noFill/>
                        </a:ln>
                        <a:effectLst/>
                      </wps:spPr>
                      <wps:txbx>
                        <w:txbxContent>
                          <w:p>
                            <w:pPr>
                              <w:rPr>
                                <w:rFonts w:ascii="宋体" w:hAnsi="宋体" w:cs="宋体"/>
                                <w:sz w:val="20"/>
                                <w:szCs w:val="21"/>
                              </w:rPr>
                            </w:pPr>
                            <w:r>
                              <w:rPr>
                                <w:rFonts w:hint="eastAsia" w:ascii="宋体" w:hAnsi="宋体" w:cs="宋体"/>
                                <w:sz w:val="20"/>
                                <w:szCs w:val="21"/>
                                <w:lang w:val="en-US" w:eastAsia="zh-CN"/>
                              </w:rPr>
                              <w:t>H、I</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158.4pt;margin-top:106.3pt;height:23.15pt;width:42.25pt;z-index:251633664;mso-width-relative:page;mso-height-relative:page;" filled="f" stroked="f" coordsize="21600,21600" o:gfxdata="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Xg4odgAAAALAQAADwAAAAAAAAABACAAAAAiAAAAZHJzL2Rvd25yZXYueG1s&#10;UEsBAhQAFAAAAAgAh07iQFIKeF6/AQAAagMAAA4AAAAAAAAAAQAgAAAAJwEAAGRycy9lMm9Eb2Mu&#10;eG1sUEsFBgAAAAAGAAYAWQEAAFgFAAAAAA==&#10;">
                <v:fill on="f" focussize="0,0"/>
                <v:stroke on="f"/>
                <v:imagedata o:title=""/>
                <o:lock v:ext="edit" aspectratio="f"/>
                <v:textbox>
                  <w:txbxContent>
                    <w:p>
                      <w:pPr>
                        <w:rPr>
                          <w:rFonts w:ascii="宋体" w:hAnsi="宋体" w:cs="宋体"/>
                          <w:sz w:val="20"/>
                          <w:szCs w:val="21"/>
                        </w:rPr>
                      </w:pPr>
                      <w:r>
                        <w:rPr>
                          <w:rFonts w:hint="eastAsia" w:ascii="宋体" w:hAnsi="宋体" w:cs="宋体"/>
                          <w:sz w:val="20"/>
                          <w:szCs w:val="21"/>
                          <w:lang w:val="en-US" w:eastAsia="zh-CN"/>
                        </w:rPr>
                        <w:t>H、I</w:t>
                      </w:r>
                      <w:r>
                        <w:rPr>
                          <w:rFonts w:hint="eastAsia" w:ascii="宋体" w:hAnsi="宋体" w:cs="宋体"/>
                          <w:sz w:val="20"/>
                          <w:szCs w:val="21"/>
                        </w:rPr>
                        <w:t>◎</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2566035</wp:posOffset>
                </wp:positionH>
                <wp:positionV relativeFrom="paragraph">
                  <wp:posOffset>2170430</wp:posOffset>
                </wp:positionV>
                <wp:extent cx="419100" cy="424815"/>
                <wp:effectExtent l="0" t="0" r="0" b="0"/>
                <wp:wrapNone/>
                <wp:docPr id="57" name="文本框 5380"/>
                <wp:cNvGraphicFramePr/>
                <a:graphic xmlns:a="http://schemas.openxmlformats.org/drawingml/2006/main">
                  <a:graphicData uri="http://schemas.microsoft.com/office/word/2010/wordprocessingShape">
                    <wps:wsp>
                      <wps:cNvSpPr txBox="1"/>
                      <wps:spPr>
                        <a:xfrm>
                          <a:off x="975995" y="1425575"/>
                          <a:ext cx="351790" cy="490855"/>
                        </a:xfrm>
                        <a:prstGeom prst="rect">
                          <a:avLst/>
                        </a:prstGeom>
                        <a:noFill/>
                        <a:ln>
                          <a:noFill/>
                        </a:ln>
                        <a:effectLst/>
                      </wps:spPr>
                      <wps:txbx>
                        <w:txbxContent>
                          <w:p>
                            <w:pPr>
                              <w:rPr>
                                <w:rFonts w:ascii="宋体" w:hAnsi="宋体" w:cs="宋体"/>
                                <w:sz w:val="20"/>
                                <w:szCs w:val="21"/>
                              </w:rPr>
                            </w:pPr>
                            <w:r>
                              <w:rPr>
                                <w:rFonts w:hint="eastAsia" w:ascii="宋体" w:hAnsi="宋体" w:cs="宋体"/>
                                <w:sz w:val="20"/>
                                <w:szCs w:val="21"/>
                              </w:rPr>
                              <w:t>◎</w:t>
                            </w:r>
                          </w:p>
                          <w:p>
                            <w:pPr>
                              <w:rPr>
                                <w:rFonts w:hint="default" w:ascii="宋体" w:hAnsi="宋体" w:eastAsia="宋体" w:cs="宋体"/>
                                <w:sz w:val="20"/>
                                <w:szCs w:val="21"/>
                                <w:lang w:val="en-US" w:eastAsia="zh-CN"/>
                              </w:rPr>
                            </w:pPr>
                            <w:r>
                              <w:rPr>
                                <w:rFonts w:hint="eastAsia" w:ascii="宋体" w:hAnsi="宋体" w:cs="宋体"/>
                                <w:sz w:val="20"/>
                                <w:szCs w:val="21"/>
                                <w:lang w:val="en-US" w:eastAsia="zh-CN"/>
                              </w:rPr>
                              <w:t>F、G</w:t>
                            </w:r>
                          </w:p>
                        </w:txbxContent>
                      </wps:txbx>
                      <wps:bodyPr upright="1"/>
                    </wps:wsp>
                  </a:graphicData>
                </a:graphic>
              </wp:anchor>
            </w:drawing>
          </mc:Choice>
          <mc:Fallback>
            <w:pict>
              <v:shape id="文本框 5380" o:spid="_x0000_s1026" o:spt="202" type="#_x0000_t202" style="position:absolute;left:0pt;margin-left:202.05pt;margin-top:170.9pt;height:33.45pt;width:33pt;z-index:251695104;mso-width-relative:page;mso-height-relative:page;" filled="f" stroked="f" coordsize="21600,21600" o:gfxdata="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K4P41wAAAAsBAAAPAAAAAAAAAAEAIAAAACIAAABkcnMvZG93bnJldi54bWxQ&#10;SwECFAAUAAAACACHTuJAHkecir8BAABqAwAADgAAAAAAAAABACAAAAAmAQAAZHJzL2Uyb0RvYy54&#10;bWxQSwUGAAAAAAYABgBZAQAAVwUAAAAA&#10;">
                <v:fill on="f" focussize="0,0"/>
                <v:stroke on="f"/>
                <v:imagedata o:title=""/>
                <o:lock v:ext="edit" aspectratio="f"/>
                <v:textbox>
                  <w:txbxContent>
                    <w:p>
                      <w:pPr>
                        <w:rPr>
                          <w:rFonts w:ascii="宋体" w:hAnsi="宋体" w:cs="宋体"/>
                          <w:sz w:val="20"/>
                          <w:szCs w:val="21"/>
                        </w:rPr>
                      </w:pPr>
                      <w:r>
                        <w:rPr>
                          <w:rFonts w:hint="eastAsia" w:ascii="宋体" w:hAnsi="宋体" w:cs="宋体"/>
                          <w:sz w:val="20"/>
                          <w:szCs w:val="21"/>
                        </w:rPr>
                        <w:t>◎</w:t>
                      </w:r>
                    </w:p>
                    <w:p>
                      <w:pPr>
                        <w:rPr>
                          <w:rFonts w:hint="default" w:ascii="宋体" w:hAnsi="宋体" w:eastAsia="宋体" w:cs="宋体"/>
                          <w:sz w:val="20"/>
                          <w:szCs w:val="21"/>
                          <w:lang w:val="en-US" w:eastAsia="zh-CN"/>
                        </w:rPr>
                      </w:pPr>
                      <w:r>
                        <w:rPr>
                          <w:rFonts w:hint="eastAsia" w:ascii="宋体" w:hAnsi="宋体" w:cs="宋体"/>
                          <w:sz w:val="20"/>
                          <w:szCs w:val="21"/>
                          <w:lang w:val="en-US" w:eastAsia="zh-CN"/>
                        </w:rPr>
                        <w:t>F、G</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35712" behindDoc="0" locked="0" layoutInCell="1" allowOverlap="1">
                <wp:simplePos x="0" y="0"/>
                <wp:positionH relativeFrom="column">
                  <wp:posOffset>1972310</wp:posOffset>
                </wp:positionH>
                <wp:positionV relativeFrom="paragraph">
                  <wp:posOffset>1900555</wp:posOffset>
                </wp:positionV>
                <wp:extent cx="419100" cy="381000"/>
                <wp:effectExtent l="0" t="0" r="0" b="0"/>
                <wp:wrapNone/>
                <wp:docPr id="32" name="文本框 5380"/>
                <wp:cNvGraphicFramePr/>
                <a:graphic xmlns:a="http://schemas.openxmlformats.org/drawingml/2006/main">
                  <a:graphicData uri="http://schemas.microsoft.com/office/word/2010/wordprocessingShape">
                    <wps:wsp>
                      <wps:cNvSpPr txBox="1"/>
                      <wps:spPr>
                        <a:xfrm>
                          <a:off x="975995" y="1425575"/>
                          <a:ext cx="351790" cy="490855"/>
                        </a:xfrm>
                        <a:prstGeom prst="rect">
                          <a:avLst/>
                        </a:prstGeom>
                        <a:noFill/>
                        <a:ln>
                          <a:noFill/>
                        </a:ln>
                        <a:effectLst/>
                      </wps:spPr>
                      <wps:txbx>
                        <w:txbxContent>
                          <w:p>
                            <w:pPr>
                              <w:rPr>
                                <w:rFonts w:ascii="宋体" w:hAnsi="宋体" w:cs="宋体"/>
                                <w:sz w:val="20"/>
                                <w:szCs w:val="21"/>
                              </w:rPr>
                            </w:pPr>
                            <w:r>
                              <w:rPr>
                                <w:rFonts w:hint="eastAsia" w:ascii="宋体" w:hAnsi="宋体" w:cs="宋体"/>
                                <w:sz w:val="20"/>
                                <w:szCs w:val="21"/>
                                <w:lang w:val="en-US" w:eastAsia="zh-CN"/>
                              </w:rPr>
                              <w:t>B、C</w:t>
                            </w:r>
                            <w:r>
                              <w:rPr>
                                <w:rFonts w:hint="eastAsia" w:ascii="宋体" w:hAnsi="宋体" w:cs="宋体"/>
                                <w:sz w:val="20"/>
                                <w:szCs w:val="21"/>
                              </w:rPr>
                              <w:t>◎</w:t>
                            </w:r>
                          </w:p>
                        </w:txbxContent>
                      </wps:txbx>
                      <wps:bodyPr upright="1"/>
                    </wps:wsp>
                  </a:graphicData>
                </a:graphic>
              </wp:anchor>
            </w:drawing>
          </mc:Choice>
          <mc:Fallback>
            <w:pict>
              <v:shape id="文本框 5380" o:spid="_x0000_s1026" o:spt="202" type="#_x0000_t202" style="position:absolute;left:0pt;margin-left:155.3pt;margin-top:149.65pt;height:30pt;width:33pt;z-index:251635712;mso-width-relative:page;mso-height-relative:page;" filled="f" stroked="f" coordsize="21600,21600" o:gfxdata="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FEP9NcAAAALAQAADwAAAAAAAAABACAAAAAiAAAAZHJzL2Rvd25yZXYueG1s&#10;UEsBAhQAFAAAAAgAh07iQBAea0DAAQAAagMAAA4AAAAAAAAAAQAgAAAAJgEAAGRycy9lMm9Eb2Mu&#10;eG1sUEsFBgAAAAAGAAYAWQEAAFgFAAAAAA==&#10;">
                <v:fill on="f" focussize="0,0"/>
                <v:stroke on="f"/>
                <v:imagedata o:title=""/>
                <o:lock v:ext="edit" aspectratio="f"/>
                <v:textbox>
                  <w:txbxContent>
                    <w:p>
                      <w:pPr>
                        <w:rPr>
                          <w:rFonts w:ascii="宋体" w:hAnsi="宋体" w:cs="宋体"/>
                          <w:sz w:val="20"/>
                          <w:szCs w:val="21"/>
                        </w:rPr>
                      </w:pPr>
                      <w:r>
                        <w:rPr>
                          <w:rFonts w:hint="eastAsia" w:ascii="宋体" w:hAnsi="宋体" w:cs="宋体"/>
                          <w:sz w:val="20"/>
                          <w:szCs w:val="21"/>
                          <w:lang w:val="en-US" w:eastAsia="zh-CN"/>
                        </w:rPr>
                        <w:t>B、C</w:t>
                      </w:r>
                      <w:r>
                        <w:rPr>
                          <w:rFonts w:hint="eastAsia" w:ascii="宋体" w:hAnsi="宋体" w:cs="宋体"/>
                          <w:sz w:val="20"/>
                          <w:szCs w:val="21"/>
                        </w:rPr>
                        <w:t>◎</w:t>
                      </w:r>
                    </w:p>
                  </w:txbxContent>
                </v:textbox>
              </v:shape>
            </w:pict>
          </mc:Fallback>
        </mc:AlternateContent>
      </w:r>
      <w:r>
        <w:drawing>
          <wp:inline distT="0" distB="0" distL="114300" distR="114300">
            <wp:extent cx="3187700" cy="3028315"/>
            <wp:effectExtent l="0" t="0" r="12700" b="63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7"/>
                    <a:stretch>
                      <a:fillRect/>
                    </a:stretch>
                  </pic:blipFill>
                  <pic:spPr>
                    <a:xfrm>
                      <a:off x="0" y="0"/>
                      <a:ext cx="3187700" cy="3028315"/>
                    </a:xfrm>
                    <a:prstGeom prst="rect">
                      <a:avLst/>
                    </a:prstGeom>
                    <a:noFill/>
                    <a:ln>
                      <a:noFill/>
                    </a:ln>
                  </pic:spPr>
                </pic:pic>
              </a:graphicData>
            </a:graphic>
          </wp:inline>
        </w:drawing>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2250440</wp:posOffset>
                </wp:positionH>
                <wp:positionV relativeFrom="paragraph">
                  <wp:posOffset>2105025</wp:posOffset>
                </wp:positionV>
                <wp:extent cx="419100" cy="381000"/>
                <wp:effectExtent l="0" t="0" r="0" b="0"/>
                <wp:wrapNone/>
                <wp:docPr id="52" name="文本框 5380"/>
                <wp:cNvGraphicFramePr/>
                <a:graphic xmlns:a="http://schemas.openxmlformats.org/drawingml/2006/main">
                  <a:graphicData uri="http://schemas.microsoft.com/office/word/2010/wordprocessingShape">
                    <wps:wsp>
                      <wps:cNvSpPr txBox="1"/>
                      <wps:spPr>
                        <a:xfrm>
                          <a:off x="975995" y="1425575"/>
                          <a:ext cx="351790" cy="490855"/>
                        </a:xfrm>
                        <a:prstGeom prst="rect">
                          <a:avLst/>
                        </a:prstGeom>
                        <a:noFill/>
                        <a:ln>
                          <a:noFill/>
                        </a:ln>
                        <a:effectLst/>
                      </wps:spPr>
                      <wps:txbx>
                        <w:txbxContent>
                          <w:p>
                            <w:pPr>
                              <w:rPr>
                                <w:rFonts w:ascii="宋体" w:hAnsi="宋体" w:cs="宋体"/>
                                <w:sz w:val="20"/>
                                <w:szCs w:val="21"/>
                              </w:rPr>
                            </w:pPr>
                            <w:r>
                              <w:rPr>
                                <w:rFonts w:hint="eastAsia" w:ascii="宋体" w:hAnsi="宋体" w:cs="宋体"/>
                                <w:sz w:val="20"/>
                                <w:szCs w:val="21"/>
                              </w:rPr>
                              <w:t>◎</w:t>
                            </w:r>
                          </w:p>
                          <w:p>
                            <w:pPr>
                              <w:rPr>
                                <w:rFonts w:hint="default" w:ascii="宋体" w:hAnsi="宋体" w:eastAsia="宋体" w:cs="宋体"/>
                                <w:sz w:val="20"/>
                                <w:szCs w:val="21"/>
                                <w:lang w:val="en-US" w:eastAsia="zh-CN"/>
                              </w:rPr>
                            </w:pPr>
                            <w:r>
                              <w:rPr>
                                <w:rFonts w:hint="eastAsia" w:ascii="宋体" w:hAnsi="宋体" w:cs="宋体"/>
                                <w:sz w:val="20"/>
                                <w:szCs w:val="21"/>
                                <w:lang w:val="en-US" w:eastAsia="zh-CN"/>
                              </w:rPr>
                              <w:t>D、E</w:t>
                            </w:r>
                          </w:p>
                        </w:txbxContent>
                      </wps:txbx>
                      <wps:bodyPr upright="1"/>
                    </wps:wsp>
                  </a:graphicData>
                </a:graphic>
              </wp:anchor>
            </w:drawing>
          </mc:Choice>
          <mc:Fallback>
            <w:pict>
              <v:shape id="文本框 5380" o:spid="_x0000_s1026" o:spt="202" type="#_x0000_t202" style="position:absolute;left:0pt;margin-left:177.2pt;margin-top:165.75pt;height:30pt;width:33pt;z-index:251665408;mso-width-relative:page;mso-height-relative:page;" filled="f" stroked="f" coordsize="21600,21600" o:gfxdata="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zp7Lr1wAAAAsBAAAPAAAAAAAAAAEAIAAAACIAAABkcnMvZG93bnJldi54bWxQ&#10;SwECFAAUAAAACACHTuJAFN9U/78BAABqAwAADgAAAAAAAAABACAAAAAmAQAAZHJzL2Uyb0RvYy54&#10;bWxQSwUGAAAAAAYABgBZAQAAVwUAAAAA&#10;">
                <v:fill on="f" focussize="0,0"/>
                <v:stroke on="f"/>
                <v:imagedata o:title=""/>
                <o:lock v:ext="edit" aspectratio="f"/>
                <v:textbox>
                  <w:txbxContent>
                    <w:p>
                      <w:pPr>
                        <w:rPr>
                          <w:rFonts w:ascii="宋体" w:hAnsi="宋体" w:cs="宋体"/>
                          <w:sz w:val="20"/>
                          <w:szCs w:val="21"/>
                        </w:rPr>
                      </w:pPr>
                      <w:r>
                        <w:rPr>
                          <w:rFonts w:hint="eastAsia" w:ascii="宋体" w:hAnsi="宋体" w:cs="宋体"/>
                          <w:sz w:val="20"/>
                          <w:szCs w:val="21"/>
                        </w:rPr>
                        <w:t>◎</w:t>
                      </w:r>
                    </w:p>
                    <w:p>
                      <w:pPr>
                        <w:rPr>
                          <w:rFonts w:hint="default" w:ascii="宋体" w:hAnsi="宋体" w:eastAsia="宋体" w:cs="宋体"/>
                          <w:sz w:val="20"/>
                          <w:szCs w:val="21"/>
                          <w:lang w:val="en-US" w:eastAsia="zh-CN"/>
                        </w:rPr>
                      </w:pPr>
                      <w:r>
                        <w:rPr>
                          <w:rFonts w:hint="eastAsia" w:ascii="宋体" w:hAnsi="宋体" w:cs="宋体"/>
                          <w:sz w:val="20"/>
                          <w:szCs w:val="21"/>
                          <w:lang w:val="en-US" w:eastAsia="zh-CN"/>
                        </w:rPr>
                        <w:t>D、E</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30592" behindDoc="0" locked="0" layoutInCell="1" allowOverlap="1">
                <wp:simplePos x="0" y="0"/>
                <wp:positionH relativeFrom="column">
                  <wp:posOffset>3418840</wp:posOffset>
                </wp:positionH>
                <wp:positionV relativeFrom="paragraph">
                  <wp:posOffset>1842770</wp:posOffset>
                </wp:positionV>
                <wp:extent cx="374015" cy="285750"/>
                <wp:effectExtent l="0" t="0" r="0" b="0"/>
                <wp:wrapNone/>
                <wp:docPr id="50" name="文本框 5380"/>
                <wp:cNvGraphicFramePr/>
                <a:graphic xmlns:a="http://schemas.openxmlformats.org/drawingml/2006/main">
                  <a:graphicData uri="http://schemas.microsoft.com/office/word/2010/wordprocessingShape">
                    <wps:wsp>
                      <wps:cNvSpPr txBox="1"/>
                      <wps:spPr>
                        <a:xfrm>
                          <a:off x="975995" y="1425575"/>
                          <a:ext cx="351790" cy="490855"/>
                        </a:xfrm>
                        <a:prstGeom prst="rect">
                          <a:avLst/>
                        </a:prstGeom>
                        <a:noFill/>
                        <a:ln>
                          <a:noFill/>
                        </a:ln>
                        <a:effectLst/>
                      </wps:spPr>
                      <wps:txbx>
                        <w:txbxContent>
                          <w:p>
                            <w:pPr>
                              <w:rPr>
                                <w:rFonts w:ascii="宋体" w:hAnsi="宋体" w:cs="宋体"/>
                                <w:sz w:val="20"/>
                                <w:szCs w:val="21"/>
                              </w:rPr>
                            </w:pPr>
                            <w:r>
                              <w:rPr>
                                <w:rFonts w:hint="eastAsia" w:ascii="宋体" w:hAnsi="宋体" w:cs="宋体"/>
                                <w:sz w:val="20"/>
                                <w:szCs w:val="21"/>
                              </w:rPr>
                              <w:t>A★</w:t>
                            </w:r>
                          </w:p>
                        </w:txbxContent>
                      </wps:txbx>
                      <wps:bodyPr upright="1"/>
                    </wps:wsp>
                  </a:graphicData>
                </a:graphic>
              </wp:anchor>
            </w:drawing>
          </mc:Choice>
          <mc:Fallback>
            <w:pict>
              <v:shape id="文本框 5380" o:spid="_x0000_s1026" o:spt="202" type="#_x0000_t202" style="position:absolute;left:0pt;margin-left:269.2pt;margin-top:145.1pt;height:22.5pt;width:29.45pt;z-index:251630592;mso-width-relative:page;mso-height-relative:page;" filled="f" stroked="f" coordsize="21600,21600" o:gfxdata="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BYFqPZAAAACwEAAA8AAAAAAAAAAQAgAAAAIgAAAGRycy9kb3ducmV2Lnht&#10;bFBLAQIUABQAAAAIAIdO4kA60xsTvwEAAGoDAAAOAAAAAAAAAAEAIAAAACgBAABkcnMvZTJvRG9j&#10;LnhtbFBLBQYAAAAABgAGAFkBAABZBQAAAAA=&#10;">
                <v:fill on="f" focussize="0,0"/>
                <v:stroke on="f"/>
                <v:imagedata o:title=""/>
                <o:lock v:ext="edit" aspectratio="f"/>
                <v:textbox>
                  <w:txbxContent>
                    <w:p>
                      <w:pPr>
                        <w:rPr>
                          <w:rFonts w:ascii="宋体" w:hAnsi="宋体" w:cs="宋体"/>
                          <w:sz w:val="20"/>
                          <w:szCs w:val="21"/>
                        </w:rPr>
                      </w:pPr>
                      <w:r>
                        <w:rPr>
                          <w:rFonts w:hint="eastAsia" w:ascii="宋体" w:hAnsi="宋体" w:cs="宋体"/>
                          <w:sz w:val="20"/>
                          <w:szCs w:val="21"/>
                        </w:rPr>
                        <w:t>A★</w:t>
                      </w:r>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29568" behindDoc="0" locked="0" layoutInCell="1" allowOverlap="1">
                <wp:simplePos x="0" y="0"/>
                <wp:positionH relativeFrom="column">
                  <wp:posOffset>4074795</wp:posOffset>
                </wp:positionH>
                <wp:positionV relativeFrom="paragraph">
                  <wp:posOffset>2239645</wp:posOffset>
                </wp:positionV>
                <wp:extent cx="1464945" cy="563880"/>
                <wp:effectExtent l="0" t="0" r="0" b="0"/>
                <wp:wrapNone/>
                <wp:docPr id="30" name="文本框 3521"/>
                <wp:cNvGraphicFramePr/>
                <a:graphic xmlns:a="http://schemas.openxmlformats.org/drawingml/2006/main">
                  <a:graphicData uri="http://schemas.microsoft.com/office/word/2010/wordprocessingShape">
                    <wps:wsp>
                      <wps:cNvSpPr txBox="1"/>
                      <wps:spPr>
                        <a:xfrm>
                          <a:off x="4015740" y="2327275"/>
                          <a:ext cx="1333500" cy="615950"/>
                        </a:xfrm>
                        <a:prstGeom prst="rect">
                          <a:avLst/>
                        </a:prstGeom>
                        <a:noFill/>
                        <a:ln w="3175">
                          <a:noFill/>
                        </a:ln>
                        <a:effectLst/>
                      </wps:spPr>
                      <wps:txbx>
                        <w:txbxContent>
                          <w:p>
                            <w:pPr>
                              <w:rPr>
                                <w:rFonts w:ascii="宋体" w:hAnsi="宋体" w:cs="宋体"/>
                                <w:sz w:val="18"/>
                              </w:rPr>
                            </w:pPr>
                            <w:r>
                              <w:rPr>
                                <w:rFonts w:hint="eastAsia" w:ascii="宋体" w:hAnsi="宋体" w:cs="宋体"/>
                                <w:szCs w:val="21"/>
                              </w:rPr>
                              <w:t>★</w:t>
                            </w:r>
                            <w:r>
                              <w:rPr>
                                <w:rFonts w:hint="eastAsia" w:ascii="宋体" w:hAnsi="宋体" w:cs="宋体"/>
                                <w:sz w:val="18"/>
                              </w:rPr>
                              <w:t>为废水监测点</w:t>
                            </w:r>
                          </w:p>
                          <w:p>
                            <w:pPr>
                              <w:rPr>
                                <w:rFonts w:ascii="宋体" w:hAnsi="宋体" w:cs="宋体"/>
                                <w:sz w:val="18"/>
                              </w:rPr>
                            </w:pPr>
                            <w:r>
                              <w:rPr>
                                <w:rFonts w:hint="eastAsia" w:ascii="宋体" w:hAnsi="宋体" w:cs="宋体"/>
                                <w:sz w:val="18"/>
                              </w:rPr>
                              <w:t>◎为有组织废气监测点</w:t>
                            </w:r>
                          </w:p>
                          <w:p>
                            <w:pPr>
                              <w:rPr>
                                <w:rFonts w:ascii="宋体" w:hAnsi="宋体" w:cs="宋体"/>
                                <w:sz w:val="18"/>
                              </w:rPr>
                            </w:pPr>
                            <w:r>
                              <w:rPr>
                                <w:rFonts w:hint="eastAsia" w:ascii="宋体" w:hAnsi="宋体" w:cs="宋体"/>
                                <w:sz w:val="18"/>
                              </w:rPr>
                              <w:t>▲为厂界噪声监测点</w:t>
                            </w:r>
                          </w:p>
                        </w:txbxContent>
                      </wps:txbx>
                      <wps:bodyPr upright="1"/>
                    </wps:wsp>
                  </a:graphicData>
                </a:graphic>
              </wp:anchor>
            </w:drawing>
          </mc:Choice>
          <mc:Fallback>
            <w:pict>
              <v:shape id="文本框 3521" o:spid="_x0000_s1026" o:spt="202" type="#_x0000_t202" style="position:absolute;left:0pt;margin-left:320.85pt;margin-top:176.35pt;height:44.4pt;width:115.35pt;z-index:251629568;mso-width-relative:page;mso-height-relative:page;" filled="f" stroked="f" coordsize="21600,21600" o:gfxdata="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BamlLaAAAACwEAAA8AAAAAAAAAAQAgAAAAIgAAAGRycy9k&#10;b3ducmV2LnhtbFBLAQIUABQAAAAIAIdO4kB4h5K2xwEAAHUDAAAOAAAAAAAAAAEAIAAAACkBAABk&#10;cnMvZTJvRG9jLnhtbFBLBQYAAAAABgAGAFkBAABiBQAAAAA=&#10;">
                <v:fill on="f" focussize="0,0"/>
                <v:stroke on="f" weight="0.25pt"/>
                <v:imagedata o:title=""/>
                <o:lock v:ext="edit" aspectratio="f"/>
                <v:textbox>
                  <w:txbxContent>
                    <w:p>
                      <w:pPr>
                        <w:rPr>
                          <w:rFonts w:ascii="宋体" w:hAnsi="宋体" w:cs="宋体"/>
                          <w:sz w:val="18"/>
                        </w:rPr>
                      </w:pPr>
                      <w:r>
                        <w:rPr>
                          <w:rFonts w:hint="eastAsia" w:ascii="宋体" w:hAnsi="宋体" w:cs="宋体"/>
                          <w:szCs w:val="21"/>
                        </w:rPr>
                        <w:t>★</w:t>
                      </w:r>
                      <w:r>
                        <w:rPr>
                          <w:rFonts w:hint="eastAsia" w:ascii="宋体" w:hAnsi="宋体" w:cs="宋体"/>
                          <w:sz w:val="18"/>
                        </w:rPr>
                        <w:t>为废水监测点</w:t>
                      </w:r>
                    </w:p>
                    <w:p>
                      <w:pPr>
                        <w:rPr>
                          <w:rFonts w:ascii="宋体" w:hAnsi="宋体" w:cs="宋体"/>
                          <w:sz w:val="18"/>
                        </w:rPr>
                      </w:pPr>
                      <w:r>
                        <w:rPr>
                          <w:rFonts w:hint="eastAsia" w:ascii="宋体" w:hAnsi="宋体" w:cs="宋体"/>
                          <w:sz w:val="18"/>
                        </w:rPr>
                        <w:t>◎为有组织废气监测点</w:t>
                      </w:r>
                    </w:p>
                    <w:p>
                      <w:pPr>
                        <w:rPr>
                          <w:rFonts w:ascii="宋体" w:hAnsi="宋体" w:cs="宋体"/>
                          <w:sz w:val="18"/>
                        </w:rPr>
                      </w:pPr>
                      <w:r>
                        <w:rPr>
                          <w:rFonts w:hint="eastAsia" w:ascii="宋体" w:hAnsi="宋体" w:cs="宋体"/>
                          <w:sz w:val="18"/>
                        </w:rPr>
                        <w:t>▲为厂界噪声监测点</w:t>
                      </w:r>
                    </w:p>
                  </w:txbxContent>
                </v:textbox>
              </v:shape>
            </w:pict>
          </mc:Fallback>
        </mc:AlternateContent>
      </w:r>
    </w:p>
    <w:p>
      <w:pPr>
        <w:tabs>
          <w:tab w:val="left" w:pos="757"/>
        </w:tabs>
        <w:spacing w:line="360" w:lineRule="auto"/>
        <w:jc w:val="center"/>
        <w:rPr>
          <w:rFonts w:hint="default" w:ascii="Times New Roman" w:hAnsi="Times New Roman" w:cs="Times New Roman"/>
        </w:rPr>
      </w:pPr>
      <w:r>
        <w:rPr>
          <w:rFonts w:hint="default" w:ascii="Times New Roman" w:hAnsi="Times New Roman" w:eastAsia="仿宋_GB2312" w:cs="Times New Roman"/>
          <w:sz w:val="24"/>
        </w:rPr>
        <w:t>图3-2 项目平面布置及污染源监测点</w:t>
      </w:r>
    </w:p>
    <w:p>
      <w:pPr>
        <w:tabs>
          <w:tab w:val="left" w:pos="757"/>
        </w:tabs>
        <w:spacing w:line="360" w:lineRule="auto"/>
        <w:jc w:val="center"/>
        <w:rPr>
          <w:rFonts w:hint="default" w:ascii="Times New Roman" w:hAnsi="Times New Roman" w:eastAsia="仿宋_GB2312" w:cs="Times New Roman"/>
          <w:sz w:val="24"/>
        </w:rPr>
      </w:pPr>
    </w:p>
    <w:p>
      <w:pPr>
        <w:pStyle w:val="34"/>
        <w:spacing w:beforeLines="0"/>
        <w:rPr>
          <w:rFonts w:hint="default" w:ascii="Times New Roman" w:hAnsi="Times New Roman" w:cs="Times New Roman"/>
          <w:szCs w:val="28"/>
        </w:rPr>
      </w:pPr>
      <w:bookmarkStart w:id="75" w:name="_Toc2867126"/>
      <w:bookmarkStart w:id="76" w:name="_Toc502310454"/>
      <w:bookmarkStart w:id="77" w:name="_Toc523410782"/>
      <w:r>
        <w:rPr>
          <w:rFonts w:hint="default" w:ascii="Times New Roman" w:hAnsi="Times New Roman" w:cs="Times New Roman"/>
        </w:rPr>
        <w:t>3.2 建设内容</w:t>
      </w:r>
      <w:bookmarkEnd w:id="75"/>
      <w:bookmarkEnd w:id="76"/>
      <w:bookmarkEnd w:id="77"/>
    </w:p>
    <w:p>
      <w:pPr>
        <w:tabs>
          <w:tab w:val="left" w:pos="757"/>
        </w:tabs>
        <w:spacing w:line="360" w:lineRule="auto"/>
        <w:ind w:firstLine="560" w:firstLineChars="200"/>
        <w:rPr>
          <w:rFonts w:hint="default" w:ascii="Times New Roman" w:hAnsi="Times New Roman" w:cs="Times New Roman"/>
          <w:color w:val="000000"/>
          <w:spacing w:val="-40"/>
          <w:sz w:val="28"/>
          <w:szCs w:val="28"/>
        </w:rPr>
      </w:pPr>
      <w:r>
        <w:rPr>
          <w:rFonts w:hint="eastAsia" w:cs="Times New Roman"/>
          <w:sz w:val="28"/>
          <w:szCs w:val="28"/>
          <w:lang w:eastAsia="zh-CN"/>
        </w:rPr>
        <w:t>改建</w:t>
      </w:r>
      <w:r>
        <w:rPr>
          <w:rFonts w:hint="default" w:ascii="Times New Roman" w:hAnsi="Times New Roman" w:cs="Times New Roman"/>
          <w:sz w:val="28"/>
          <w:szCs w:val="28"/>
        </w:rPr>
        <w:t>项目实际总投资</w:t>
      </w:r>
      <w:r>
        <w:rPr>
          <w:rFonts w:hint="eastAsia" w:cs="Times New Roman"/>
          <w:sz w:val="28"/>
          <w:szCs w:val="28"/>
          <w:lang w:val="en-US" w:eastAsia="zh-CN"/>
        </w:rPr>
        <w:t>150</w:t>
      </w:r>
      <w:r>
        <w:rPr>
          <w:rFonts w:hint="default" w:ascii="Times New Roman" w:hAnsi="Times New Roman" w:cs="Times New Roman"/>
          <w:sz w:val="28"/>
          <w:szCs w:val="28"/>
        </w:rPr>
        <w:t>万元</w:t>
      </w:r>
      <w:r>
        <w:rPr>
          <w:rFonts w:hint="default" w:ascii="Times New Roman" w:hAnsi="Times New Roman" w:cs="Times New Roman"/>
          <w:color w:val="000000"/>
          <w:spacing w:val="-40"/>
          <w:sz w:val="28"/>
          <w:szCs w:val="28"/>
        </w:rPr>
        <w:t>，</w:t>
      </w:r>
      <w:r>
        <w:rPr>
          <w:rFonts w:hint="default" w:ascii="Times New Roman" w:hAnsi="Times New Roman" w:cs="Times New Roman"/>
          <w:color w:val="000000"/>
          <w:sz w:val="28"/>
          <w:szCs w:val="28"/>
        </w:rPr>
        <w:t>设计</w:t>
      </w:r>
      <w:r>
        <w:rPr>
          <w:rFonts w:hint="eastAsia" w:cs="Times New Roman"/>
          <w:color w:val="000000"/>
          <w:sz w:val="28"/>
          <w:lang w:eastAsia="zh-CN"/>
        </w:rPr>
        <w:t>年产6000吨五金件（已审批电镀加工</w:t>
      </w:r>
      <w:r>
        <w:rPr>
          <w:rFonts w:hint="eastAsia" w:cs="Times New Roman"/>
          <w:color w:val="000000"/>
          <w:sz w:val="28"/>
          <w:lang w:val="en-US" w:eastAsia="zh-CN"/>
        </w:rPr>
        <w:t>800万件卫浴洁具、1000万件汽摩配件变更为电镀加工3200吨五金件，</w:t>
      </w:r>
      <w:r>
        <w:rPr>
          <w:rFonts w:hint="eastAsia" w:cs="Times New Roman"/>
          <w:color w:val="000000"/>
          <w:sz w:val="28"/>
          <w:lang w:eastAsia="zh-CN"/>
        </w:rPr>
        <w:t>改建项目</w:t>
      </w:r>
      <w:r>
        <w:rPr>
          <w:rFonts w:hint="eastAsia" w:cs="Times New Roman"/>
          <w:color w:val="000000"/>
          <w:sz w:val="28"/>
          <w:lang w:val="en-US" w:eastAsia="zh-CN"/>
        </w:rPr>
        <w:t>2800吨</w:t>
      </w:r>
      <w:r>
        <w:rPr>
          <w:rFonts w:hint="eastAsia" w:cs="Times New Roman"/>
          <w:color w:val="000000"/>
          <w:sz w:val="28"/>
          <w:lang w:eastAsia="zh-CN"/>
        </w:rPr>
        <w:t>）</w:t>
      </w:r>
      <w:r>
        <w:rPr>
          <w:rFonts w:hint="default" w:ascii="Times New Roman" w:hAnsi="Times New Roman" w:cs="Times New Roman"/>
          <w:color w:val="000000"/>
          <w:sz w:val="28"/>
        </w:rPr>
        <w:t>，现实际达到</w:t>
      </w:r>
      <w:r>
        <w:rPr>
          <w:rFonts w:hint="eastAsia" w:cs="Times New Roman"/>
          <w:color w:val="000000"/>
          <w:sz w:val="28"/>
          <w:lang w:eastAsia="zh-CN"/>
        </w:rPr>
        <w:t>年产</w:t>
      </w:r>
      <w:r>
        <w:rPr>
          <w:rFonts w:hint="eastAsia" w:cs="Times New Roman"/>
          <w:color w:val="000000"/>
          <w:sz w:val="28"/>
          <w:lang w:val="en-US" w:eastAsia="zh-CN"/>
        </w:rPr>
        <w:t>4800</w:t>
      </w:r>
      <w:r>
        <w:rPr>
          <w:rFonts w:hint="eastAsia" w:cs="Times New Roman"/>
          <w:color w:val="000000"/>
          <w:sz w:val="28"/>
          <w:lang w:eastAsia="zh-CN"/>
        </w:rPr>
        <w:t>吨</w:t>
      </w:r>
      <w:r>
        <w:rPr>
          <w:rFonts w:hint="eastAsia" w:cs="Times New Roman"/>
          <w:color w:val="000000"/>
          <w:sz w:val="28"/>
          <w:lang w:val="en-US" w:eastAsia="zh-CN"/>
        </w:rPr>
        <w:t>（改建项目1600吨）</w:t>
      </w:r>
      <w:r>
        <w:rPr>
          <w:rFonts w:hint="eastAsia" w:cs="Times New Roman"/>
          <w:color w:val="000000"/>
          <w:sz w:val="28"/>
          <w:lang w:eastAsia="zh-CN"/>
        </w:rPr>
        <w:t>五金件</w:t>
      </w:r>
      <w:r>
        <w:rPr>
          <w:rFonts w:hint="default" w:ascii="Times New Roman" w:hAnsi="Times New Roman" w:cs="Times New Roman"/>
          <w:color w:val="000000"/>
          <w:sz w:val="28"/>
        </w:rPr>
        <w:t>的生产能力。现有职工</w:t>
      </w:r>
      <w:r>
        <w:rPr>
          <w:rFonts w:hint="eastAsia" w:cs="Times New Roman"/>
          <w:color w:val="000000"/>
          <w:sz w:val="28"/>
          <w:lang w:val="en-US" w:eastAsia="zh-CN"/>
        </w:rPr>
        <w:t>110</w:t>
      </w:r>
      <w:r>
        <w:rPr>
          <w:rFonts w:hint="default" w:ascii="Times New Roman" w:hAnsi="Times New Roman" w:cs="Times New Roman"/>
          <w:color w:val="000000"/>
          <w:sz w:val="28"/>
        </w:rPr>
        <w:t>人，其中</w:t>
      </w:r>
      <w:r>
        <w:rPr>
          <w:rFonts w:hint="eastAsia" w:cs="Times New Roman"/>
          <w:color w:val="000000"/>
          <w:sz w:val="28"/>
          <w:lang w:val="en-US" w:eastAsia="zh-CN"/>
        </w:rPr>
        <w:t>100</w:t>
      </w:r>
      <w:r>
        <w:rPr>
          <w:rFonts w:hint="default" w:ascii="Times New Roman" w:hAnsi="Times New Roman" w:cs="Times New Roman"/>
          <w:color w:val="000000"/>
          <w:sz w:val="28"/>
        </w:rPr>
        <w:t>人在厂内住宿，厂区不设食堂，年生产3</w:t>
      </w:r>
      <w:r>
        <w:rPr>
          <w:rFonts w:hint="eastAsia" w:cs="Times New Roman"/>
          <w:color w:val="000000"/>
          <w:sz w:val="28"/>
          <w:lang w:val="en-US" w:eastAsia="zh-CN"/>
        </w:rPr>
        <w:t>24</w:t>
      </w:r>
      <w:r>
        <w:rPr>
          <w:rFonts w:hint="default" w:ascii="Times New Roman" w:hAnsi="Times New Roman" w:cs="Times New Roman"/>
          <w:color w:val="000000"/>
          <w:sz w:val="28"/>
        </w:rPr>
        <w:t>天，每日生产</w:t>
      </w:r>
      <w:r>
        <w:rPr>
          <w:rFonts w:hint="eastAsia" w:cs="Times New Roman"/>
          <w:color w:val="000000"/>
          <w:sz w:val="28"/>
          <w:lang w:val="en-US" w:eastAsia="zh-CN"/>
        </w:rPr>
        <w:t>9</w:t>
      </w:r>
      <w:r>
        <w:rPr>
          <w:rFonts w:hint="default" w:ascii="Times New Roman" w:hAnsi="Times New Roman" w:cs="Times New Roman"/>
          <w:color w:val="000000"/>
          <w:sz w:val="28"/>
        </w:rPr>
        <w:t>小时（夜间不生产）。企业产品概况</w:t>
      </w:r>
      <w:r>
        <w:rPr>
          <w:rFonts w:hint="default" w:ascii="Times New Roman" w:hAnsi="Times New Roman" w:cs="Times New Roman"/>
          <w:color w:val="000000"/>
          <w:sz w:val="28"/>
          <w:szCs w:val="28"/>
        </w:rPr>
        <w:t>统计表见表3-1，</w:t>
      </w:r>
      <w:r>
        <w:rPr>
          <w:rFonts w:hint="default" w:ascii="Times New Roman" w:hAnsi="Times New Roman" w:cs="Times New Roman"/>
          <w:color w:val="000000"/>
          <w:sz w:val="28"/>
        </w:rPr>
        <w:t>具体</w:t>
      </w:r>
      <w:r>
        <w:rPr>
          <w:rFonts w:hint="default" w:ascii="Times New Roman" w:hAnsi="Times New Roman" w:cs="Times New Roman"/>
          <w:color w:val="000000"/>
          <w:sz w:val="28"/>
          <w:szCs w:val="28"/>
        </w:rPr>
        <w:t>生产设备见表3-2。</w:t>
      </w:r>
    </w:p>
    <w:bookmarkEnd w:id="70"/>
    <w:bookmarkEnd w:id="71"/>
    <w:bookmarkEnd w:id="72"/>
    <w:bookmarkEnd w:id="73"/>
    <w:bookmarkEnd w:id="74"/>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bookmarkStart w:id="78" w:name="_Toc381089486"/>
      <w:bookmarkStart w:id="79" w:name="_Toc435709042"/>
      <w:bookmarkStart w:id="80" w:name="_Toc436059302"/>
      <w:bookmarkStart w:id="81" w:name="_Toc364754124"/>
      <w:r>
        <w:rPr>
          <w:rFonts w:hint="default" w:ascii="Times New Roman" w:hAnsi="Times New Roman" w:eastAsia="楷体" w:cs="Times New Roman"/>
        </w:rPr>
        <w:t>表3-1 企业产品概况统计表</w:t>
      </w:r>
    </w:p>
    <w:tbl>
      <w:tblPr>
        <w:tblStyle w:val="37"/>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61"/>
        <w:gridCol w:w="1223"/>
        <w:gridCol w:w="1085"/>
        <w:gridCol w:w="1142"/>
        <w:gridCol w:w="1189"/>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984" w:type="dxa"/>
            <w:gridSpan w:val="2"/>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1085" w:type="dxa"/>
            <w:vAlign w:val="center"/>
          </w:tcPr>
          <w:p>
            <w:pPr>
              <w:tabs>
                <w:tab w:val="left" w:pos="757"/>
              </w:tabs>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已审批</w:t>
            </w:r>
          </w:p>
        </w:tc>
        <w:tc>
          <w:tcPr>
            <w:tcW w:w="1142" w:type="dxa"/>
            <w:vAlign w:val="center"/>
          </w:tcPr>
          <w:p>
            <w:pPr>
              <w:tabs>
                <w:tab w:val="left" w:pos="757"/>
              </w:tabs>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改建项目</w:t>
            </w:r>
          </w:p>
        </w:tc>
        <w:tc>
          <w:tcPr>
            <w:tcW w:w="1189" w:type="dxa"/>
            <w:vAlign w:val="center"/>
          </w:tcPr>
          <w:p>
            <w:pPr>
              <w:tabs>
                <w:tab w:val="left" w:pos="757"/>
              </w:tabs>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全厂</w:t>
            </w:r>
          </w:p>
        </w:tc>
        <w:tc>
          <w:tcPr>
            <w:tcW w:w="2792"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实际生产能力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pPr>
              <w:tabs>
                <w:tab w:val="left" w:pos="757"/>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761" w:type="dxa"/>
            <w:vMerge w:val="restart"/>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电镀加工</w:t>
            </w:r>
          </w:p>
        </w:tc>
        <w:tc>
          <w:tcPr>
            <w:tcW w:w="1223" w:type="dxa"/>
            <w:vAlign w:val="center"/>
          </w:tcPr>
          <w:p>
            <w:pPr>
              <w:tabs>
                <w:tab w:val="left" w:pos="757"/>
              </w:tabs>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卫浴洁具</w:t>
            </w:r>
          </w:p>
        </w:tc>
        <w:tc>
          <w:tcPr>
            <w:tcW w:w="1085"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800万件</w:t>
            </w:r>
          </w:p>
        </w:tc>
        <w:tc>
          <w:tcPr>
            <w:tcW w:w="1142" w:type="dxa"/>
            <w:vAlign w:val="center"/>
          </w:tcPr>
          <w:p>
            <w:pPr>
              <w:tabs>
                <w:tab w:val="left" w:pos="757"/>
              </w:tabs>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w:t>
            </w:r>
          </w:p>
        </w:tc>
        <w:tc>
          <w:tcPr>
            <w:tcW w:w="1189" w:type="dxa"/>
            <w:vAlign w:val="center"/>
          </w:tcPr>
          <w:p>
            <w:pPr>
              <w:tabs>
                <w:tab w:val="left" w:pos="757"/>
              </w:tabs>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w:t>
            </w:r>
          </w:p>
        </w:tc>
        <w:tc>
          <w:tcPr>
            <w:tcW w:w="2792" w:type="dxa"/>
            <w:vAlign w:val="center"/>
          </w:tcPr>
          <w:p>
            <w:pPr>
              <w:tabs>
                <w:tab w:val="left" w:pos="757"/>
              </w:tabs>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pPr>
              <w:tabs>
                <w:tab w:val="left" w:pos="757"/>
              </w:tabs>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2</w:t>
            </w:r>
          </w:p>
        </w:tc>
        <w:tc>
          <w:tcPr>
            <w:tcW w:w="761" w:type="dxa"/>
            <w:vMerge w:val="continue"/>
            <w:vAlign w:val="center"/>
          </w:tcPr>
          <w:p>
            <w:pPr>
              <w:tabs>
                <w:tab w:val="left" w:pos="757"/>
              </w:tabs>
              <w:jc w:val="center"/>
              <w:rPr>
                <w:rFonts w:hint="eastAsia" w:cs="Times New Roman"/>
                <w:color w:val="000000"/>
                <w:szCs w:val="21"/>
                <w:lang w:eastAsia="zh-CN"/>
              </w:rPr>
            </w:pPr>
          </w:p>
        </w:tc>
        <w:tc>
          <w:tcPr>
            <w:tcW w:w="1223" w:type="dxa"/>
            <w:vAlign w:val="center"/>
          </w:tcPr>
          <w:p>
            <w:pPr>
              <w:tabs>
                <w:tab w:val="left" w:pos="757"/>
              </w:tabs>
              <w:jc w:val="center"/>
              <w:rPr>
                <w:rFonts w:hint="eastAsia" w:cs="Times New Roman"/>
                <w:color w:val="000000"/>
                <w:szCs w:val="21"/>
                <w:lang w:eastAsia="zh-CN"/>
              </w:rPr>
            </w:pPr>
            <w:r>
              <w:rPr>
                <w:rFonts w:hint="eastAsia" w:cs="Times New Roman"/>
                <w:color w:val="000000"/>
                <w:szCs w:val="21"/>
                <w:lang w:eastAsia="zh-CN"/>
              </w:rPr>
              <w:t>汽摩配件</w:t>
            </w:r>
          </w:p>
        </w:tc>
        <w:tc>
          <w:tcPr>
            <w:tcW w:w="1085" w:type="dxa"/>
            <w:vAlign w:val="center"/>
          </w:tcPr>
          <w:p>
            <w:pPr>
              <w:tabs>
                <w:tab w:val="left" w:pos="757"/>
              </w:tabs>
              <w:jc w:val="center"/>
              <w:rPr>
                <w:rFonts w:hint="default" w:cs="Times New Roman"/>
                <w:color w:val="000000"/>
                <w:szCs w:val="21"/>
                <w:lang w:val="en-US" w:eastAsia="zh-CN"/>
              </w:rPr>
            </w:pPr>
            <w:r>
              <w:rPr>
                <w:rFonts w:hint="eastAsia" w:cs="Times New Roman"/>
                <w:color w:val="000000"/>
                <w:szCs w:val="21"/>
                <w:lang w:val="en-US" w:eastAsia="zh-CN"/>
              </w:rPr>
              <w:t>1000万件</w:t>
            </w:r>
          </w:p>
        </w:tc>
        <w:tc>
          <w:tcPr>
            <w:tcW w:w="1142" w:type="dxa"/>
            <w:vAlign w:val="center"/>
          </w:tcPr>
          <w:p>
            <w:pPr>
              <w:tabs>
                <w:tab w:val="left" w:pos="757"/>
              </w:tabs>
              <w:jc w:val="center"/>
              <w:rPr>
                <w:rFonts w:hint="default" w:cs="Times New Roman"/>
                <w:color w:val="000000"/>
                <w:szCs w:val="21"/>
                <w:lang w:val="en-US" w:eastAsia="zh-CN"/>
              </w:rPr>
            </w:pPr>
            <w:r>
              <w:rPr>
                <w:rFonts w:hint="eastAsia" w:cs="Times New Roman"/>
                <w:color w:val="000000"/>
                <w:szCs w:val="21"/>
                <w:lang w:val="en-US" w:eastAsia="zh-CN"/>
              </w:rPr>
              <w:t>\</w:t>
            </w:r>
          </w:p>
        </w:tc>
        <w:tc>
          <w:tcPr>
            <w:tcW w:w="1189" w:type="dxa"/>
            <w:vAlign w:val="center"/>
          </w:tcPr>
          <w:p>
            <w:pPr>
              <w:tabs>
                <w:tab w:val="left" w:pos="757"/>
              </w:tabs>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w:t>
            </w:r>
          </w:p>
        </w:tc>
        <w:tc>
          <w:tcPr>
            <w:tcW w:w="2792" w:type="dxa"/>
            <w:vAlign w:val="center"/>
          </w:tcPr>
          <w:p>
            <w:pPr>
              <w:tabs>
                <w:tab w:val="left" w:pos="757"/>
              </w:tabs>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4" w:type="dxa"/>
            <w:vAlign w:val="center"/>
          </w:tcPr>
          <w:p>
            <w:pPr>
              <w:tabs>
                <w:tab w:val="left" w:pos="757"/>
              </w:tabs>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761" w:type="dxa"/>
            <w:vMerge w:val="continue"/>
            <w:vAlign w:val="center"/>
          </w:tcPr>
          <w:p>
            <w:pPr>
              <w:tabs>
                <w:tab w:val="left" w:pos="757"/>
              </w:tabs>
              <w:jc w:val="center"/>
              <w:rPr>
                <w:rFonts w:hint="eastAsia" w:cs="Times New Roman"/>
                <w:color w:val="000000"/>
                <w:szCs w:val="21"/>
                <w:lang w:eastAsia="zh-CN"/>
              </w:rPr>
            </w:pPr>
          </w:p>
        </w:tc>
        <w:tc>
          <w:tcPr>
            <w:tcW w:w="1223" w:type="dxa"/>
            <w:vAlign w:val="center"/>
          </w:tcPr>
          <w:p>
            <w:pPr>
              <w:tabs>
                <w:tab w:val="left" w:pos="757"/>
              </w:tabs>
              <w:jc w:val="center"/>
              <w:rPr>
                <w:rFonts w:hint="eastAsia" w:cs="Times New Roman"/>
                <w:color w:val="000000"/>
                <w:szCs w:val="21"/>
                <w:lang w:eastAsia="zh-CN"/>
              </w:rPr>
            </w:pPr>
            <w:r>
              <w:rPr>
                <w:rFonts w:hint="eastAsia" w:cs="Times New Roman"/>
                <w:color w:val="000000"/>
                <w:szCs w:val="21"/>
                <w:lang w:eastAsia="zh-CN"/>
              </w:rPr>
              <w:t>五金件</w:t>
            </w:r>
          </w:p>
        </w:tc>
        <w:tc>
          <w:tcPr>
            <w:tcW w:w="1085" w:type="dxa"/>
            <w:vAlign w:val="center"/>
          </w:tcPr>
          <w:p>
            <w:pPr>
              <w:tabs>
                <w:tab w:val="left" w:pos="757"/>
              </w:tabs>
              <w:jc w:val="center"/>
              <w:rPr>
                <w:rFonts w:hint="default" w:cs="Times New Roman"/>
                <w:color w:val="000000"/>
                <w:szCs w:val="21"/>
                <w:lang w:val="en-US" w:eastAsia="zh-CN"/>
              </w:rPr>
            </w:pPr>
            <w:r>
              <w:rPr>
                <w:rFonts w:hint="eastAsia" w:cs="Times New Roman"/>
                <w:color w:val="000000"/>
                <w:szCs w:val="21"/>
                <w:lang w:val="en-US" w:eastAsia="zh-CN"/>
              </w:rPr>
              <w:t>\</w:t>
            </w:r>
          </w:p>
        </w:tc>
        <w:tc>
          <w:tcPr>
            <w:tcW w:w="1142" w:type="dxa"/>
            <w:vAlign w:val="center"/>
          </w:tcPr>
          <w:p>
            <w:pPr>
              <w:tabs>
                <w:tab w:val="left" w:pos="757"/>
              </w:tabs>
              <w:jc w:val="center"/>
              <w:rPr>
                <w:rFonts w:hint="eastAsia" w:cs="Times New Roman"/>
                <w:color w:val="000000"/>
                <w:szCs w:val="21"/>
                <w:lang w:val="en-US" w:eastAsia="zh-CN"/>
              </w:rPr>
            </w:pPr>
            <w:r>
              <w:rPr>
                <w:rFonts w:hint="eastAsia" w:cs="Times New Roman"/>
                <w:color w:val="000000"/>
                <w:szCs w:val="21"/>
                <w:lang w:val="en-US" w:eastAsia="zh-CN"/>
              </w:rPr>
              <w:t>2800</w:t>
            </w:r>
            <w:r>
              <w:rPr>
                <w:rFonts w:hint="default" w:ascii="Times New Roman" w:hAnsi="Times New Roman" w:cs="Times New Roman"/>
                <w:color w:val="000000"/>
                <w:szCs w:val="21"/>
              </w:rPr>
              <w:t>吨/年</w:t>
            </w:r>
          </w:p>
        </w:tc>
        <w:tc>
          <w:tcPr>
            <w:tcW w:w="1189"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6000吨/年</w:t>
            </w:r>
          </w:p>
        </w:tc>
        <w:tc>
          <w:tcPr>
            <w:tcW w:w="2792" w:type="dxa"/>
            <w:vAlign w:val="center"/>
          </w:tcPr>
          <w:p>
            <w:pPr>
              <w:tabs>
                <w:tab w:val="left" w:pos="757"/>
              </w:tabs>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4800吨（本项目1600吨）</w:t>
            </w:r>
          </w:p>
        </w:tc>
      </w:tr>
    </w:tbl>
    <w:p>
      <w:pPr>
        <w:pStyle w:val="6"/>
        <w:keepNext/>
        <w:keepLines/>
        <w:pageBreakBefore w:val="0"/>
        <w:widowControl w:val="0"/>
        <w:kinsoku/>
        <w:wordWrap/>
        <w:overflowPunct/>
        <w:topLinePunct w:val="0"/>
        <w:autoSpaceDE/>
        <w:autoSpaceDN/>
        <w:bidi w:val="0"/>
        <w:adjustRightInd w:val="0"/>
        <w:snapToGrid w:val="0"/>
        <w:spacing w:before="145" w:beforeLines="50"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表3-2 项目主体</w:t>
      </w:r>
      <w:r>
        <w:rPr>
          <w:rFonts w:hint="eastAsia" w:ascii="Times New Roman" w:hAnsi="Times New Roman" w:eastAsia="楷体" w:cs="Times New Roman"/>
          <w:lang w:eastAsia="zh-CN"/>
        </w:rPr>
        <w:t>电镀容量</w:t>
      </w:r>
      <w:r>
        <w:rPr>
          <w:rFonts w:hint="default" w:ascii="Times New Roman" w:hAnsi="Times New Roman" w:eastAsia="楷体" w:cs="Times New Roman"/>
        </w:rPr>
        <w:t>一览表</w:t>
      </w:r>
    </w:p>
    <w:tbl>
      <w:tblPr>
        <w:tblStyle w:val="37"/>
        <w:tblW w:w="9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0"/>
        <w:gridCol w:w="1079"/>
        <w:gridCol w:w="885"/>
        <w:gridCol w:w="853"/>
        <w:gridCol w:w="716"/>
        <w:gridCol w:w="830"/>
        <w:gridCol w:w="762"/>
        <w:gridCol w:w="715"/>
        <w:gridCol w:w="808"/>
        <w:gridCol w:w="762"/>
        <w:gridCol w:w="750"/>
        <w:gridCol w:w="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bookmarkStart w:id="82" w:name="_Toc2867127"/>
            <w:bookmarkStart w:id="83" w:name="_Toc523410783"/>
            <w:r>
              <w:rPr>
                <w:rFonts w:hint="default" w:ascii="Times New Roman" w:hAnsi="Times New Roman" w:eastAsia="宋体" w:cs="Times New Roman"/>
                <w:kern w:val="2"/>
                <w:sz w:val="21"/>
                <w:szCs w:val="24"/>
                <w:vertAlign w:val="baseline"/>
                <w:lang w:val="en-US" w:eastAsia="zh-CN" w:bidi="ar-SA"/>
              </w:rPr>
              <w:t>车间</w:t>
            </w:r>
          </w:p>
        </w:tc>
        <w:tc>
          <w:tcPr>
            <w:tcW w:w="1079"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生产线</w:t>
            </w:r>
          </w:p>
        </w:tc>
        <w:tc>
          <w:tcPr>
            <w:tcW w:w="885"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镀种</w:t>
            </w:r>
          </w:p>
        </w:tc>
        <w:tc>
          <w:tcPr>
            <w:tcW w:w="2399"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已审批</w:t>
            </w:r>
          </w:p>
        </w:tc>
        <w:tc>
          <w:tcPr>
            <w:tcW w:w="2285"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改建后</w:t>
            </w:r>
          </w:p>
        </w:tc>
        <w:tc>
          <w:tcPr>
            <w:tcW w:w="2216"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有效容</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量（升）</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槽数量</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（个）</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总镀容</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（升）</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有效容</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量（升）</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槽数量</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（个）</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总镀容</w:t>
            </w:r>
          </w:p>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（升）</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有效容</w:t>
            </w:r>
          </w:p>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量（升）</w:t>
            </w:r>
          </w:p>
        </w:tc>
        <w:tc>
          <w:tcPr>
            <w:tcW w:w="75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槽数量</w:t>
            </w:r>
          </w:p>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（个）</w:t>
            </w:r>
          </w:p>
        </w:tc>
        <w:tc>
          <w:tcPr>
            <w:tcW w:w="704"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总镀容</w:t>
            </w:r>
          </w:p>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生产车间二3F</w:t>
            </w:r>
          </w:p>
        </w:tc>
        <w:tc>
          <w:tcPr>
            <w:tcW w:w="1079"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MF01 镀镍铬自动挂镀线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预镀铜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2270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2270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酸铜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10200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10200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2720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2720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半光镍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3060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3060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3060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全光镍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11275</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11275</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11275</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11275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铬</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2294</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2294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3149</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3149</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3149</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2817"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17484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17484</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17484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750"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生产车间二2F</w:t>
            </w:r>
          </w:p>
        </w:tc>
        <w:tc>
          <w:tcPr>
            <w:tcW w:w="1079"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MF02 镀镍自动挂镀线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2817"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生产车间一3F</w:t>
            </w:r>
          </w:p>
        </w:tc>
        <w:tc>
          <w:tcPr>
            <w:tcW w:w="1079"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MF03 镀铜镍自动挂镀线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预镀铜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焦铜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酸铜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MF04 手动挂镀线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铬</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2817"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14464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14464</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14464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MF05 镀铜自动挂镀线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青古铜</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1260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5040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1260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5040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1260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MF06 手动挂镀线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枪黑</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2817"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5277</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5277</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5277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生产车间一2F</w:t>
            </w:r>
          </w:p>
        </w:tc>
        <w:tc>
          <w:tcPr>
            <w:tcW w:w="1079" w:type="dxa"/>
            <w:vMerge w:val="restart"/>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MF07 手动生产线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镍</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244</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244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硬铬</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855</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855</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银</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230.4</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3</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691.2</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1079"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MF08 镀银半自动挂镀线</w:t>
            </w:r>
          </w:p>
        </w:tc>
        <w:tc>
          <w:tcPr>
            <w:tcW w:w="88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银</w:t>
            </w:r>
          </w:p>
        </w:tc>
        <w:tc>
          <w:tcPr>
            <w:tcW w:w="853"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407.8</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407.8</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50" w:type="dxa"/>
            <w:vMerge w:val="continue"/>
            <w:tcBorders>
              <w:top w:val="nil"/>
            </w:tcBorders>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p>
        </w:tc>
        <w:tc>
          <w:tcPr>
            <w:tcW w:w="2817" w:type="dxa"/>
            <w:gridSpan w:val="3"/>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2</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1099</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小计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1099</w:t>
            </w:r>
          </w:p>
        </w:tc>
        <w:tc>
          <w:tcPr>
            <w:tcW w:w="762"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50"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c>
          <w:tcPr>
            <w:tcW w:w="704" w:type="dxa"/>
            <w:vAlign w:val="center"/>
          </w:tcPr>
          <w:p>
            <w:pPr>
              <w:autoSpaceDE/>
              <w:autoSpaceDN/>
              <w:spacing w:before="0" w:after="0" w:line="240" w:lineRule="auto"/>
              <w:ind w:left="0" w:leftChars="0" w:right="0" w:rightChars="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3567" w:type="dxa"/>
            <w:gridSpan w:val="4"/>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合计</w:t>
            </w:r>
          </w:p>
        </w:tc>
        <w:tc>
          <w:tcPr>
            <w:tcW w:w="716"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18</w:t>
            </w:r>
          </w:p>
        </w:tc>
        <w:tc>
          <w:tcPr>
            <w:tcW w:w="83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43064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合计</w:t>
            </w:r>
          </w:p>
        </w:tc>
        <w:tc>
          <w:tcPr>
            <w:tcW w:w="715"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19</w:t>
            </w:r>
          </w:p>
        </w:tc>
        <w:tc>
          <w:tcPr>
            <w:tcW w:w="808"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default" w:ascii="Times New Roman" w:hAnsi="Times New Roman" w:eastAsia="宋体" w:cs="Times New Roman"/>
                <w:kern w:val="2"/>
                <w:sz w:val="21"/>
                <w:szCs w:val="24"/>
                <w:vertAlign w:val="baseline"/>
                <w:lang w:val="en-US" w:eastAsia="zh-CN" w:bidi="ar-SA"/>
              </w:rPr>
              <w:t>43064</w:t>
            </w:r>
          </w:p>
        </w:tc>
        <w:tc>
          <w:tcPr>
            <w:tcW w:w="762"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cs="Times New Roman"/>
                <w:kern w:val="2"/>
                <w:sz w:val="21"/>
                <w:szCs w:val="24"/>
                <w:vertAlign w:val="baseline"/>
                <w:lang w:val="en-US" w:eastAsia="zh-CN" w:bidi="ar-SA"/>
              </w:rPr>
              <w:t>合计</w:t>
            </w:r>
          </w:p>
        </w:tc>
        <w:tc>
          <w:tcPr>
            <w:tcW w:w="750"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cs="Times New Roman"/>
                <w:kern w:val="2"/>
                <w:sz w:val="21"/>
                <w:szCs w:val="24"/>
                <w:vertAlign w:val="baseline"/>
                <w:lang w:val="en-US" w:eastAsia="zh-CN" w:bidi="ar-SA"/>
              </w:rPr>
              <w:t>15</w:t>
            </w:r>
          </w:p>
        </w:tc>
        <w:tc>
          <w:tcPr>
            <w:tcW w:w="704" w:type="dxa"/>
            <w:vAlign w:val="center"/>
          </w:tcPr>
          <w:p>
            <w:pPr>
              <w:autoSpaceDE/>
              <w:autoSpaceDN/>
              <w:spacing w:before="0" w:after="0" w:line="240" w:lineRule="auto"/>
              <w:ind w:left="0" w:right="0"/>
              <w:jc w:val="center"/>
              <w:rPr>
                <w:rFonts w:hint="default" w:ascii="Times New Roman" w:hAnsi="Times New Roman" w:eastAsia="宋体" w:cs="Times New Roman"/>
                <w:kern w:val="2"/>
                <w:sz w:val="21"/>
                <w:szCs w:val="24"/>
                <w:vertAlign w:val="baseline"/>
                <w:lang w:val="en-US" w:eastAsia="zh-CN" w:bidi="ar-SA"/>
              </w:rPr>
            </w:pPr>
            <w:r>
              <w:rPr>
                <w:rFonts w:hint="eastAsia" w:ascii="Times New Roman" w:hAnsi="Times New Roman" w:cs="Times New Roman"/>
                <w:kern w:val="2"/>
                <w:sz w:val="21"/>
                <w:szCs w:val="24"/>
                <w:vertAlign w:val="baseline"/>
                <w:lang w:val="en-US" w:eastAsia="zh-CN" w:bidi="ar-SA"/>
              </w:rPr>
              <w:t>41965</w:t>
            </w:r>
          </w:p>
        </w:tc>
      </w:tr>
    </w:tbl>
    <w:p>
      <w:pPr>
        <w:pStyle w:val="34"/>
        <w:spacing w:beforeLines="0"/>
        <w:rPr>
          <w:rFonts w:hint="default" w:ascii="Times New Roman" w:hAnsi="Times New Roman" w:cs="Times New Roman"/>
          <w:szCs w:val="28"/>
        </w:rPr>
      </w:pPr>
      <w:r>
        <w:rPr>
          <w:rFonts w:hint="default" w:ascii="Times New Roman" w:hAnsi="Times New Roman" w:cs="Times New Roman"/>
          <w:szCs w:val="30"/>
        </w:rPr>
        <w:t>3.3 主要原辅材料及燃料</w:t>
      </w:r>
      <w:bookmarkEnd w:id="82"/>
      <w:bookmarkEnd w:id="83"/>
    </w:p>
    <w:p>
      <w:pPr>
        <w:tabs>
          <w:tab w:val="left" w:pos="757"/>
        </w:tabs>
        <w:spacing w:line="360" w:lineRule="auto"/>
        <w:ind w:firstLine="560" w:firstLineChars="200"/>
        <w:jc w:val="left"/>
        <w:rPr>
          <w:rFonts w:hint="default" w:ascii="Times New Roman" w:hAnsi="Times New Roman" w:cs="Times New Roman"/>
          <w:bCs/>
          <w:sz w:val="28"/>
          <w:szCs w:val="28"/>
        </w:rPr>
      </w:pPr>
      <w:r>
        <w:rPr>
          <w:rFonts w:hint="eastAsia" w:cs="Times New Roman"/>
          <w:sz w:val="28"/>
          <w:szCs w:val="28"/>
          <w:lang w:eastAsia="zh-CN"/>
        </w:rPr>
        <w:t>改建项目</w:t>
      </w:r>
      <w:r>
        <w:rPr>
          <w:rFonts w:hint="default" w:ascii="Times New Roman" w:hAnsi="Times New Roman" w:cs="Times New Roman"/>
          <w:color w:val="000000"/>
          <w:sz w:val="28"/>
        </w:rPr>
        <w:t>主要原辅材料消耗情况见表3-</w:t>
      </w:r>
      <w:r>
        <w:rPr>
          <w:rFonts w:hint="eastAsia" w:cs="Times New Roman"/>
          <w:color w:val="000000"/>
          <w:sz w:val="28"/>
          <w:lang w:val="en-US" w:eastAsia="zh-CN"/>
        </w:rPr>
        <w:t>3</w:t>
      </w:r>
      <w:r>
        <w:rPr>
          <w:rFonts w:hint="default" w:ascii="Times New Roman" w:hAnsi="Times New Roman" w:cs="Times New Roman"/>
          <w:color w:val="000000"/>
          <w:sz w:val="28"/>
        </w:rPr>
        <w:t>。</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表3-</w:t>
      </w:r>
      <w:r>
        <w:rPr>
          <w:rFonts w:hint="eastAsia" w:ascii="Times New Roman" w:hAnsi="Times New Roman" w:eastAsia="楷体" w:cs="Times New Roman"/>
          <w:lang w:val="en-US" w:eastAsia="zh-CN"/>
        </w:rPr>
        <w:t>3</w:t>
      </w:r>
      <w:r>
        <w:rPr>
          <w:rFonts w:hint="default" w:ascii="Times New Roman" w:hAnsi="Times New Roman" w:eastAsia="楷体" w:cs="Times New Roman"/>
        </w:rPr>
        <w:t xml:space="preserve"> </w:t>
      </w:r>
      <w:r>
        <w:rPr>
          <w:rFonts w:hint="default" w:ascii="Times New Roman" w:hAnsi="Times New Roman" w:eastAsia="楷体" w:cs="Times New Roman"/>
          <w:lang w:eastAsia="zh-CN"/>
        </w:rPr>
        <w:t>改建</w:t>
      </w:r>
      <w:r>
        <w:rPr>
          <w:rFonts w:hint="default" w:ascii="Times New Roman" w:hAnsi="Times New Roman" w:eastAsia="楷体" w:cs="Times New Roman"/>
        </w:rPr>
        <w:t>项目主要原辅材料消耗情况表</w:t>
      </w:r>
    </w:p>
    <w:tbl>
      <w:tblPr>
        <w:tblStyle w:val="37"/>
        <w:tblW w:w="7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9"/>
        <w:gridCol w:w="1831"/>
        <w:gridCol w:w="1513"/>
        <w:gridCol w:w="1950"/>
        <w:gridCol w:w="17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bookmarkStart w:id="84" w:name="_Toc2867128"/>
            <w:bookmarkStart w:id="85" w:name="_Toc523410784"/>
            <w:r>
              <w:rPr>
                <w:rFonts w:hint="eastAsia" w:ascii="Calibri" w:hAnsi="Calibri" w:eastAsia="宋体" w:cs="Times New Roman"/>
                <w:kern w:val="2"/>
                <w:sz w:val="21"/>
                <w:szCs w:val="24"/>
                <w:vertAlign w:val="baseline"/>
                <w:lang w:val="en-US" w:eastAsia="zh-CN" w:bidi="ar-SA"/>
              </w:rPr>
              <w:t>序号</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名称</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储存方式</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环评年用量（t/a）</w:t>
            </w:r>
          </w:p>
        </w:tc>
        <w:tc>
          <w:tcPr>
            <w:tcW w:w="1725"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实际用量（t/a）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678" w:type="dxa"/>
            <w:gridSpan w:val="5"/>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MF01 镀镍铬自动挂镀线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除蜡水</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除油粉</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袋装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清洗剂</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袋装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4</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铜板</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10</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5</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镍板</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30</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6</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盐酸（35%）</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7</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硫酸（90%）</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8</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硝酸（70%）</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9</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铬酸酐</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10</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硼酸</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11</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硫酸镍</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袋装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40</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12</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氯化镍</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袋装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11</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13</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光亮剂</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c>
          <w:tcPr>
            <w:tcW w:w="1725" w:type="dxa"/>
            <w:vAlign w:val="center"/>
          </w:tcPr>
          <w:p>
            <w:pPr>
              <w:autoSpaceDE/>
              <w:autoSpaceDN/>
              <w:spacing w:before="0" w:after="0" w:line="240" w:lineRule="auto"/>
              <w:ind w:left="0" w:leftChars="0" w:right="0" w:rightChars="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7678" w:type="dxa"/>
            <w:gridSpan w:val="5"/>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MF07 手动生产线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除油粉</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袋装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2.5</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盐酸（35%）</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3</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硫酸（90%）</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2</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4</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硝酸（70%）</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7.5</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5</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氰化钾</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1.5</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6</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银粉</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8</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678" w:type="dxa"/>
            <w:gridSpan w:val="5"/>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MF08 镀银半自动挂镀线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659"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1</w:t>
            </w:r>
          </w:p>
        </w:tc>
        <w:tc>
          <w:tcPr>
            <w:tcW w:w="1831"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银粉</w:t>
            </w:r>
          </w:p>
        </w:tc>
        <w:tc>
          <w:tcPr>
            <w:tcW w:w="1513"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桶装</w:t>
            </w:r>
          </w:p>
        </w:tc>
        <w:tc>
          <w:tcPr>
            <w:tcW w:w="1950" w:type="dxa"/>
            <w:vAlign w:val="center"/>
          </w:tcPr>
          <w:p>
            <w:pPr>
              <w:autoSpaceDE/>
              <w:autoSpaceDN/>
              <w:spacing w:before="0" w:after="0" w:line="240" w:lineRule="auto"/>
              <w:ind w:left="0" w:right="0"/>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5</w:t>
            </w:r>
          </w:p>
        </w:tc>
        <w:tc>
          <w:tcPr>
            <w:tcW w:w="1725" w:type="dxa"/>
            <w:vAlign w:val="center"/>
          </w:tcPr>
          <w:p>
            <w:pPr>
              <w:autoSpaceDE/>
              <w:autoSpaceDN/>
              <w:spacing w:before="0" w:after="0" w:line="240" w:lineRule="auto"/>
              <w:ind w:left="0" w:right="0"/>
              <w:jc w:val="center"/>
              <w:rPr>
                <w:rFonts w:hint="default" w:ascii="Calibri" w:hAnsi="Calibri" w:eastAsia="宋体" w:cs="Times New Roman"/>
                <w:kern w:val="2"/>
                <w:sz w:val="21"/>
                <w:szCs w:val="24"/>
                <w:vertAlign w:val="baseline"/>
                <w:lang w:val="en-US" w:eastAsia="zh-CN" w:bidi="ar-SA"/>
              </w:rPr>
            </w:pPr>
            <w:r>
              <w:rPr>
                <w:rFonts w:hint="eastAsia" w:ascii="Calibri" w:hAnsi="Calibri" w:cs="Times New Roman"/>
                <w:kern w:val="2"/>
                <w:sz w:val="21"/>
                <w:szCs w:val="24"/>
                <w:vertAlign w:val="baseline"/>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7678" w:type="dxa"/>
            <w:gridSpan w:val="5"/>
            <w:vAlign w:val="center"/>
          </w:tcPr>
          <w:p>
            <w:pPr>
              <w:autoSpaceDE/>
              <w:autoSpaceDN/>
              <w:spacing w:before="0" w:after="0" w:line="240" w:lineRule="auto"/>
              <w:ind w:left="0" w:right="0"/>
              <w:jc w:val="both"/>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注：MF07、MF08 共用前处理工序。</w:t>
            </w:r>
          </w:p>
        </w:tc>
      </w:tr>
    </w:tbl>
    <w:p>
      <w:pPr>
        <w:pStyle w:val="34"/>
        <w:keepNext w:val="0"/>
        <w:keepLines w:val="0"/>
        <w:pageBreakBefore w:val="0"/>
        <w:widowControl w:val="0"/>
        <w:kinsoku/>
        <w:wordWrap/>
        <w:overflowPunct/>
        <w:topLinePunct w:val="0"/>
        <w:autoSpaceDE/>
        <w:autoSpaceDN/>
        <w:bidi w:val="0"/>
        <w:adjustRightInd w:val="0"/>
        <w:snapToGrid w:val="0"/>
        <w:spacing w:before="145" w:beforeLines="50"/>
        <w:textAlignment w:val="auto"/>
        <w:rPr>
          <w:rFonts w:hint="default" w:ascii="Times New Roman" w:hAnsi="Times New Roman" w:cs="Times New Roman"/>
          <w:sz w:val="24"/>
        </w:rPr>
      </w:pPr>
      <w:r>
        <w:rPr>
          <w:rFonts w:hint="default" w:ascii="Times New Roman" w:hAnsi="Times New Roman" w:cs="Times New Roman"/>
        </w:rPr>
        <w:t>3.4 水源及水平衡</w:t>
      </w:r>
      <w:bookmarkEnd w:id="84"/>
      <w:bookmarkEnd w:id="85"/>
      <w:r>
        <w:rPr>
          <w:rFonts w:hint="default" w:ascii="Times New Roman" w:hAnsi="Times New Roman" w:cs="Times New Roman"/>
          <w:sz w:val="24"/>
        </w:rPr>
        <w:t xml:space="preserve"> </w:t>
      </w:r>
    </w:p>
    <w:p>
      <w:pPr>
        <w:tabs>
          <w:tab w:val="left" w:pos="757"/>
        </w:tabs>
        <w:spacing w:line="360" w:lineRule="auto"/>
        <w:ind w:firstLine="560" w:firstLineChars="200"/>
        <w:rPr>
          <w:rFonts w:hint="default" w:ascii="Times New Roman" w:hAnsi="Times New Roman" w:cs="Times New Roman"/>
          <w:spacing w:val="-40"/>
          <w:sz w:val="28"/>
          <w:szCs w:val="28"/>
        </w:rPr>
      </w:pPr>
      <w:r>
        <w:rPr>
          <w:rFonts w:hint="eastAsia" w:cs="Times New Roman"/>
          <w:color w:val="000000" w:themeColor="text1"/>
          <w:sz w:val="28"/>
          <w:lang w:eastAsia="zh-CN"/>
          <w14:textFill>
            <w14:solidFill>
              <w14:schemeClr w14:val="tx1"/>
            </w14:solidFill>
          </w14:textFill>
        </w:rPr>
        <w:t>改建</w:t>
      </w:r>
      <w:r>
        <w:rPr>
          <w:rFonts w:hint="default" w:ascii="Times New Roman" w:hAnsi="Times New Roman" w:cs="Times New Roman"/>
          <w:color w:val="000000" w:themeColor="text1"/>
          <w:sz w:val="28"/>
          <w14:textFill>
            <w14:solidFill>
              <w14:schemeClr w14:val="tx1"/>
            </w14:solidFill>
          </w14:textFill>
        </w:rPr>
        <w:t>项目及迁建整合提升项目</w:t>
      </w:r>
      <w:r>
        <w:rPr>
          <w:rFonts w:hint="eastAsia" w:cs="Times New Roman"/>
          <w:color w:val="000000" w:themeColor="text1"/>
          <w:sz w:val="28"/>
          <w:lang w:eastAsia="zh-CN"/>
          <w14:textFill>
            <w14:solidFill>
              <w14:schemeClr w14:val="tx1"/>
            </w14:solidFill>
          </w14:textFill>
        </w:rPr>
        <w:t>中的一车间</w:t>
      </w:r>
      <w:r>
        <w:rPr>
          <w:rFonts w:hint="eastAsia" w:cs="Times New Roman"/>
          <w:color w:val="000000" w:themeColor="text1"/>
          <w:sz w:val="28"/>
          <w:lang w:val="en-US" w:eastAsia="zh-CN"/>
          <w14:textFill>
            <w14:solidFill>
              <w14:schemeClr w14:val="tx1"/>
            </w14:solidFill>
          </w14:textFill>
        </w:rPr>
        <w:t>2F自动喷漆车间</w:t>
      </w:r>
      <w:r>
        <w:rPr>
          <w:rFonts w:hint="eastAsia" w:cs="Times New Roman"/>
          <w:color w:val="000000" w:themeColor="text1"/>
          <w:sz w:val="28"/>
          <w:lang w:eastAsia="zh-CN"/>
          <w14:textFill>
            <w14:solidFill>
              <w14:schemeClr w14:val="tx1"/>
            </w14:solidFill>
          </w14:textFill>
        </w:rPr>
        <w:t>项目</w:t>
      </w:r>
      <w:r>
        <w:rPr>
          <w:rFonts w:hint="default" w:ascii="Times New Roman" w:hAnsi="Times New Roman" w:cs="Times New Roman"/>
          <w:color w:val="000000" w:themeColor="text1"/>
          <w:sz w:val="28"/>
          <w14:textFill>
            <w14:solidFill>
              <w14:schemeClr w14:val="tx1"/>
            </w14:solidFill>
          </w14:textFill>
        </w:rPr>
        <w:t>废水主要为</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14:textFill>
            <w14:solidFill>
              <w14:schemeClr w14:val="tx1"/>
            </w14:solidFill>
          </w14:textFill>
        </w:rPr>
        <w:t>电镀生产废水、废气处理喷淋塔废水和员工生活污水，其中生活污水经化粪池处理达到《污水综合排放标准》( GB8978-1996)三级标准后纳管排放；</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14:textFill>
            <w14:solidFill>
              <w14:schemeClr w14:val="tx1"/>
            </w14:solidFill>
          </w14:textFill>
        </w:rPr>
        <w:t>电镀生产废水、废气处理喷淋塔废水按前处理废水、含镍废水、含铬废水和混排废水等</w:t>
      </w:r>
      <w:r>
        <w:rPr>
          <w:rFonts w:hint="eastAsia" w:ascii="Times New Roman" w:hAnsi="Times New Roman" w:cs="Times New Roman"/>
          <w:color w:val="000000" w:themeColor="text1"/>
          <w:sz w:val="28"/>
          <w:lang w:eastAsia="zh-CN"/>
          <w14:textFill>
            <w14:solidFill>
              <w14:schemeClr w14:val="tx1"/>
            </w14:solidFill>
          </w14:textFill>
        </w:rPr>
        <w:t>四</w:t>
      </w:r>
      <w:r>
        <w:rPr>
          <w:rFonts w:hint="default" w:ascii="Times New Roman" w:hAnsi="Times New Roman" w:cs="Times New Roman"/>
          <w:color w:val="000000" w:themeColor="text1"/>
          <w:sz w:val="28"/>
          <w14:textFill>
            <w14:solidFill>
              <w14:schemeClr w14:val="tx1"/>
            </w14:solidFill>
          </w14:textFill>
        </w:rPr>
        <w:t>股分别收集后纳入基地污水处理站集中处理处理达到《电镀污染物排放标准》(GB21900-2008)表2中的排放限值后排入</w:t>
      </w:r>
      <w:r>
        <w:rPr>
          <w:rFonts w:hint="eastAsia" w:ascii="Times New Roman" w:hAnsi="Times New Roman" w:cs="Times New Roman"/>
          <w:color w:val="000000" w:themeColor="text1"/>
          <w:sz w:val="28"/>
          <w:lang w:eastAsia="zh-CN"/>
          <w14:textFill>
            <w14:solidFill>
              <w14:schemeClr w14:val="tx1"/>
            </w14:solidFill>
          </w14:textFill>
        </w:rPr>
        <w:t>平阳县东海</w:t>
      </w:r>
      <w:r>
        <w:rPr>
          <w:rFonts w:hint="default" w:ascii="Times New Roman" w:hAnsi="Times New Roman" w:cs="Times New Roman"/>
          <w:color w:val="000000" w:themeColor="text1"/>
          <w:sz w:val="28"/>
          <w14:textFill>
            <w14:solidFill>
              <w14:schemeClr w14:val="tx1"/>
            </w14:solidFill>
          </w14:textFill>
        </w:rPr>
        <w:t>污水处理厂处理达到《城镇污水处理厂污染物排放标准》（GB18918-2002）一级标准中的A标准后排放。根据企业提供资料显示，企业</w:t>
      </w:r>
      <w:r>
        <w:rPr>
          <w:rFonts w:hint="eastAsia" w:ascii="Times New Roman" w:hAnsi="Times New Roman" w:cs="Times New Roman"/>
          <w:color w:val="000000" w:themeColor="text1"/>
          <w:sz w:val="28"/>
          <w:lang w:val="en-US" w:eastAsia="zh-CN"/>
          <w14:textFill>
            <w14:solidFill>
              <w14:schemeClr w14:val="tx1"/>
            </w14:solidFill>
          </w14:textFill>
        </w:rPr>
        <w:t>8-10</w:t>
      </w:r>
      <w:r>
        <w:rPr>
          <w:rFonts w:hint="default" w:ascii="Times New Roman" w:hAnsi="Times New Roman" w:cs="Times New Roman"/>
          <w:color w:val="000000" w:themeColor="text1"/>
          <w:sz w:val="28"/>
          <w14:textFill>
            <w14:solidFill>
              <w14:schemeClr w14:val="tx1"/>
            </w14:solidFill>
          </w14:textFill>
        </w:rPr>
        <w:t>月份用水量为</w:t>
      </w:r>
      <w:r>
        <w:rPr>
          <w:rFonts w:hint="eastAsia" w:ascii="Times New Roman" w:hAnsi="Times New Roman" w:cs="Times New Roman"/>
          <w:color w:val="000000" w:themeColor="text1"/>
          <w:sz w:val="28"/>
          <w:lang w:val="en-US" w:eastAsia="zh-CN"/>
          <w14:textFill>
            <w14:solidFill>
              <w14:schemeClr w14:val="tx1"/>
            </w14:solidFill>
          </w14:textFill>
        </w:rPr>
        <w:t>8133</w:t>
      </w:r>
      <w:r>
        <w:rPr>
          <w:rFonts w:hint="default" w:ascii="Times New Roman" w:hAnsi="Times New Roman" w:cs="Times New Roman"/>
          <w:color w:val="000000" w:themeColor="text1"/>
          <w:sz w:val="28"/>
          <w14:textFill>
            <w14:solidFill>
              <w14:schemeClr w14:val="tx1"/>
            </w14:solidFill>
          </w14:textFill>
        </w:rPr>
        <w:t>吨，其中生产用水量为</w:t>
      </w:r>
      <w:r>
        <w:rPr>
          <w:rFonts w:hint="eastAsia" w:cs="Times New Roman"/>
          <w:color w:val="000000" w:themeColor="text1"/>
          <w:sz w:val="28"/>
          <w:lang w:val="en-US" w:eastAsia="zh-CN"/>
          <w14:textFill>
            <w14:solidFill>
              <w14:schemeClr w14:val="tx1"/>
            </w14:solidFill>
          </w14:textFill>
        </w:rPr>
        <w:t>7496</w:t>
      </w:r>
      <w:r>
        <w:rPr>
          <w:rFonts w:hint="default" w:ascii="Times New Roman" w:hAnsi="Times New Roman" w:cs="Times New Roman"/>
          <w:color w:val="000000" w:themeColor="text1"/>
          <w:sz w:val="28"/>
          <w14:textFill>
            <w14:solidFill>
              <w14:schemeClr w14:val="tx1"/>
            </w14:solidFill>
          </w14:textFill>
        </w:rPr>
        <w:t>吨，则生产废水排放量为</w:t>
      </w:r>
      <w:r>
        <w:rPr>
          <w:rFonts w:hint="eastAsia" w:cs="Times New Roman"/>
          <w:color w:val="000000" w:themeColor="text1"/>
          <w:sz w:val="28"/>
          <w:lang w:val="en-US" w:eastAsia="zh-CN"/>
          <w14:textFill>
            <w14:solidFill>
              <w14:schemeClr w14:val="tx1"/>
            </w14:solidFill>
          </w14:textFill>
        </w:rPr>
        <w:t>7496</w:t>
      </w:r>
      <w:r>
        <w:rPr>
          <w:rFonts w:hint="default" w:ascii="Times New Roman" w:hAnsi="Times New Roman" w:cs="Times New Roman"/>
          <w:color w:val="000000" w:themeColor="text1"/>
          <w:sz w:val="28"/>
          <w14:textFill>
            <w14:solidFill>
              <w14:schemeClr w14:val="tx1"/>
            </w14:solidFill>
          </w14:textFill>
        </w:rPr>
        <w:t>吨，生活用水量为6</w:t>
      </w:r>
      <w:r>
        <w:rPr>
          <w:rFonts w:hint="eastAsia" w:cs="Times New Roman"/>
          <w:color w:val="000000" w:themeColor="text1"/>
          <w:sz w:val="28"/>
          <w:lang w:val="en-US" w:eastAsia="zh-CN"/>
          <w14:textFill>
            <w14:solidFill>
              <w14:schemeClr w14:val="tx1"/>
            </w14:solidFill>
          </w14:textFill>
        </w:rPr>
        <w:t>37</w:t>
      </w:r>
      <w:r>
        <w:rPr>
          <w:rFonts w:hint="default" w:ascii="Times New Roman" w:hAnsi="Times New Roman" w:cs="Times New Roman"/>
          <w:color w:val="000000" w:themeColor="text1"/>
          <w:sz w:val="28"/>
          <w14:textFill>
            <w14:solidFill>
              <w14:schemeClr w14:val="tx1"/>
            </w14:solidFill>
          </w14:textFill>
        </w:rPr>
        <w:t>吨，生活污水排污系数按0.8计，</w:t>
      </w:r>
      <w:r>
        <w:rPr>
          <w:rFonts w:hint="eastAsia" w:cs="Times New Roman"/>
          <w:color w:val="000000" w:themeColor="text1"/>
          <w:sz w:val="28"/>
          <w:lang w:eastAsia="zh-CN"/>
          <w14:textFill>
            <w14:solidFill>
              <w14:schemeClr w14:val="tx1"/>
            </w14:solidFill>
          </w14:textFill>
        </w:rPr>
        <w:t>生活污水排放量为</w:t>
      </w:r>
      <w:r>
        <w:rPr>
          <w:rFonts w:hint="eastAsia" w:cs="Times New Roman"/>
          <w:color w:val="000000" w:themeColor="text1"/>
          <w:sz w:val="28"/>
          <w:lang w:val="en-US" w:eastAsia="zh-CN"/>
          <w14:textFill>
            <w14:solidFill>
              <w14:schemeClr w14:val="tx1"/>
            </w14:solidFill>
          </w14:textFill>
        </w:rPr>
        <w:t>510吨，</w:t>
      </w:r>
      <w:r>
        <w:rPr>
          <w:rFonts w:hint="default" w:ascii="Times New Roman" w:hAnsi="Times New Roman" w:cs="Times New Roman"/>
          <w:color w:val="000000" w:themeColor="text1"/>
          <w:sz w:val="28"/>
          <w14:textFill>
            <w14:solidFill>
              <w14:schemeClr w14:val="tx1"/>
            </w14:solidFill>
          </w14:textFill>
        </w:rPr>
        <w:t>则废水年排放</w:t>
      </w:r>
      <w:r>
        <w:rPr>
          <w:rFonts w:hint="eastAsia" w:cs="Times New Roman"/>
          <w:color w:val="000000" w:themeColor="text1"/>
          <w:sz w:val="28"/>
          <w:lang w:val="en-US" w:eastAsia="zh-CN"/>
          <w14:textFill>
            <w14:solidFill>
              <w14:schemeClr w14:val="tx1"/>
            </w14:solidFill>
          </w14:textFill>
        </w:rPr>
        <w:t>32024</w:t>
      </w:r>
      <w:r>
        <w:rPr>
          <w:rFonts w:hint="default" w:ascii="Times New Roman" w:hAnsi="Times New Roman" w:cs="Times New Roman"/>
          <w:color w:val="000000" w:themeColor="text1"/>
          <w:sz w:val="28"/>
          <w14:textFill>
            <w14:solidFill>
              <w14:schemeClr w14:val="tx1"/>
            </w14:solidFill>
          </w14:textFill>
        </w:rPr>
        <w:t>吨。项</w:t>
      </w:r>
      <w:r>
        <w:rPr>
          <w:rFonts w:hint="default" w:ascii="Times New Roman" w:hAnsi="Times New Roman" w:cs="Times New Roman"/>
          <w:sz w:val="28"/>
        </w:rPr>
        <w:t>目目前拥有员工120人，</w:t>
      </w:r>
      <w:r>
        <w:rPr>
          <w:rFonts w:hint="default" w:ascii="Times New Roman" w:hAnsi="Times New Roman" w:cs="Times New Roman"/>
          <w:color w:val="000000"/>
          <w:sz w:val="28"/>
        </w:rPr>
        <w:t>中70人在厂内住宿，厂区不设食堂，</w:t>
      </w:r>
      <w:r>
        <w:rPr>
          <w:rFonts w:hint="default" w:ascii="Times New Roman" w:hAnsi="Times New Roman" w:cs="Times New Roman"/>
          <w:sz w:val="28"/>
        </w:rPr>
        <w:t>企业实际运行的水量平衡见图3-3</w:t>
      </w:r>
      <w:r>
        <w:rPr>
          <w:rFonts w:hint="default" w:ascii="Times New Roman" w:hAnsi="Times New Roman" w:cs="Times New Roman"/>
          <w:spacing w:val="-40"/>
          <w:sz w:val="28"/>
          <w:szCs w:val="28"/>
        </w:rPr>
        <w:t>。</w:t>
      </w:r>
    </w:p>
    <w:p>
      <w:pPr>
        <w:pStyle w:val="16"/>
        <w:ind w:firstLine="0" w:firstLineChars="0"/>
        <w:jc w:val="center"/>
        <w:rPr>
          <w:rFonts w:hint="default" w:ascii="Times New Roman" w:hAnsi="Times New Roman" w:cs="Times New Roman"/>
          <w:color w:val="000000"/>
          <w:sz w:val="30"/>
          <w:szCs w:val="30"/>
        </w:rPr>
      </w:pPr>
      <w:bookmarkStart w:id="86" w:name="_Toc523410785"/>
      <w:bookmarkStart w:id="87" w:name="_Toc2867129"/>
    </w:p>
    <w:p>
      <w:pPr>
        <w:tabs>
          <w:tab w:val="left" w:pos="757"/>
        </w:tabs>
        <w:spacing w:line="360" w:lineRule="auto"/>
        <w:jc w:val="center"/>
        <w:rPr>
          <w:rFonts w:hint="default" w:ascii="Times New Roman" w:hAnsi="Times New Roman" w:cs="Times New Roman"/>
          <w:color w:val="000000"/>
          <w:sz w:val="30"/>
          <w:szCs w:val="30"/>
        </w:rPr>
      </w:pPr>
      <w:r>
        <w:rPr>
          <w:rFonts w:hint="default" w:ascii="Times New Roman" w:hAnsi="Times New Roman" w:eastAsia="仿宋_GB2312" w:cs="Times New Roman"/>
          <w:sz w:val="24"/>
        </w:rPr>
        <w:t>图3-3 项目水平衡图</w:t>
      </w:r>
    </w:p>
    <w:p>
      <w:pPr>
        <w:pStyle w:val="34"/>
        <w:spacing w:beforeLines="0"/>
        <w:rPr>
          <w:rFonts w:hint="default" w:ascii="Times New Roman" w:hAnsi="Times New Roman" w:cs="Times New Roman"/>
          <w:szCs w:val="28"/>
        </w:rPr>
      </w:pPr>
      <w:r>
        <w:rPr>
          <w:rFonts w:hint="default" w:ascii="Times New Roman" w:hAnsi="Times New Roman" w:cs="Times New Roman"/>
        </w:rPr>
        <w:t>3.5 生产工艺</w:t>
      </w:r>
      <w:bookmarkEnd w:id="86"/>
      <w:bookmarkEnd w:id="87"/>
    </w:p>
    <w:p>
      <w:pPr>
        <w:widowControl/>
        <w:spacing w:line="360" w:lineRule="auto"/>
        <w:ind w:firstLine="561"/>
        <w:jc w:val="left"/>
        <w:rPr>
          <w:rFonts w:hint="default" w:ascii="Times New Roman" w:hAnsi="Times New Roman" w:cs="Times New Roman"/>
          <w:color w:val="000000"/>
          <w:sz w:val="28"/>
        </w:rPr>
      </w:pPr>
      <w:r>
        <w:rPr>
          <w:rFonts w:hint="eastAsia" w:cs="Times New Roman"/>
          <w:color w:val="000000"/>
          <w:sz w:val="28"/>
          <w:lang w:eastAsia="zh-CN"/>
        </w:rPr>
        <w:t>改</w:t>
      </w:r>
      <w:r>
        <w:rPr>
          <w:rFonts w:hint="default" w:ascii="Times New Roman" w:hAnsi="Times New Roman" w:cs="Times New Roman"/>
          <w:color w:val="000000"/>
          <w:sz w:val="28"/>
        </w:rPr>
        <w:t>建项目主要为五金件进行表面处理（磷化、酸洗、发黑），具体工艺流程见下图3-4。</w:t>
      </w:r>
    </w:p>
    <w:p>
      <w:pPr>
        <w:tabs>
          <w:tab w:val="left" w:pos="757"/>
        </w:tabs>
        <w:spacing w:line="360" w:lineRule="auto"/>
        <w:jc w:val="center"/>
        <w:rPr>
          <w:rFonts w:hint="default" w:ascii="Times New Roman" w:hAnsi="Times New Roman" w:cs="Times New Roman"/>
          <w:sz w:val="21"/>
        </w:rPr>
      </w:pPr>
    </w:p>
    <w:p>
      <w:pPr>
        <w:tabs>
          <w:tab w:val="left" w:pos="757"/>
        </w:tabs>
        <w:spacing w:line="360" w:lineRule="auto"/>
        <w:jc w:val="center"/>
        <w:rPr>
          <w:rFonts w:hint="default" w:ascii="Times New Roman" w:hAnsi="Times New Roman" w:cs="Times New Roman"/>
        </w:rPr>
      </w:pPr>
      <w:r>
        <w:rPr>
          <w:rFonts w:eastAsia="仿宋_GB2312"/>
          <w:sz w:val="24"/>
        </w:rPr>
        <w:t>图3-4 项目工艺流程图及产污环节图</w:t>
      </w:r>
    </w:p>
    <w:p>
      <w:pPr>
        <w:tabs>
          <w:tab w:val="left" w:pos="757"/>
        </w:tabs>
        <w:spacing w:line="360" w:lineRule="auto"/>
        <w:ind w:firstLine="562" w:firstLineChars="200"/>
        <w:jc w:val="left"/>
        <w:rPr>
          <w:rFonts w:hint="default" w:ascii="Times New Roman" w:hAnsi="Times New Roman" w:cs="Times New Roman"/>
          <w:b/>
          <w:bCs/>
          <w:color w:val="000000"/>
          <w:sz w:val="28"/>
        </w:rPr>
      </w:pPr>
      <w:bookmarkStart w:id="88" w:name="_Toc523410786"/>
      <w:r>
        <w:rPr>
          <w:rFonts w:hint="default" w:ascii="Times New Roman" w:hAnsi="Times New Roman" w:cs="Times New Roman"/>
          <w:b/>
          <w:bCs/>
          <w:color w:val="000000"/>
          <w:sz w:val="28"/>
        </w:rPr>
        <w:t>主要工艺流程说明：</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bookmarkStart w:id="89" w:name="_Toc2867130"/>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1、项目采用超声波除蜡除油、化学除油，此过程需添加除蜡水、除油粉；电镀企业必须采用低 COD 除油剂，不得使用冷脱剂等高 COD 除油剂；另建议尽量采用无磷除油剂。此过程会伴随一定量碱雾及清洗废水、更新废液等前处理废水。</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2、镀件前处理还需要用酸对镀件表面进行除锈处理，去工件上的氧化铍；所有镀件入镀槽前一般还要用酸活化；因此这些环节会有酸性废气产生。本项目采用硫酸稀酸液活化。这些环节会伴随一定量酸雾及前处理废水产生。</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另本项目 MF07、MF08 线配套前处理配套超声波研磨工艺进行除锈，此环节会伴随一定量前处理废水产生。</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3、有些电镀槽液需要加热才能工作，所以会有相应的酸雾、碱雾等产生，这些属于电镀车间的主要废气来源之一。</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4、挂具要定期进行退挂，退挂工艺采用较为先进的电解退挂工艺，只需在槽内加入电解剥离剂即可对电镀金属进行阳极剥离，槽内液体不外排。此环节会伴随一定量酸雾及清洗废水产生。本项目退挂依托已有的退挂线。</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5、电镀产品根据需求不同，需进行喷漆、浸漆或电泳表面处理。此环节会伴随一定量前处理废水及有机废气产生。本项目不涉及。</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6、一般电镀槽需要加热后工作，电镀过程及后处理均需要进行加热烘干。本项目不设锅炉，近期由平阳宏远供热有限公司集中供热，远期待燃气管道及配套工程建设完毕后，替代现有集中供热设施。</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7、电镀企业均需要设置化学品仓库，用以存放大量的、不同种类的化学药品、试剂等，而各种贮存容器的密封性能并不可能十分完好，因此会有少量的挥发性废气，一般加强排风，对环境无大影响。</w:t>
      </w:r>
    </w:p>
    <w:p>
      <w:pPr>
        <w:pStyle w:val="16"/>
        <w:autoSpaceDE w:val="0"/>
        <w:autoSpaceDN w:val="0"/>
        <w:adjustRightInd/>
        <w:snapToGrid/>
        <w:spacing w:before="0" w:after="0" w:line="360" w:lineRule="auto"/>
        <w:ind w:left="0" w:right="115" w:firstLine="560" w:firstLineChars="200"/>
        <w:jc w:val="both"/>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8、电镀加工主要分三大工序：前处理、电镀、后处理，每一工序后面均需要对镀件进行清洗，因此会产生大量的清洗废水（含有机物或重金属离子），以及各工序的废槽液如废电镀液、清缸残留液、过滤机芯清洗液、废酸液、废碱液等。本项目采用逆流漂清洗工艺，这种清洗方式由多级清洗槽串联组成，在末级清洗槽内进水，从第一级清洗槽内排水，其水流方向与镀件清洗方向相反。</w:t>
      </w:r>
    </w:p>
    <w:p>
      <w:pPr>
        <w:pStyle w:val="16"/>
        <w:autoSpaceDE w:val="0"/>
        <w:autoSpaceDN w:val="0"/>
        <w:adjustRightInd/>
        <w:snapToGrid/>
        <w:ind w:firstLine="560"/>
        <w:rPr>
          <w:rFonts w:hint="default" w:ascii="Times New Roman" w:hAnsi="Times New Roman" w:cs="Times New Roman"/>
          <w:color w:val="000000"/>
        </w:rPr>
      </w:pP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9、电镀废水经废水处理站处理过程中，加药搅拌过程中会产生一定的酸碱雾， 电镀污泥干化和暂存过程也会散发出废气或恶臭。本项目废水由</w:t>
      </w:r>
      <w:r>
        <w:rPr>
          <w:rFonts w:hint="eastAsia" w:ascii="Times New Roman" w:hAnsi="Times New Roman" w:cs="Times New Roman"/>
          <w:color w:val="000000" w:themeColor="text1"/>
          <w:kern w:val="2"/>
          <w:sz w:val="28"/>
          <w:szCs w:val="24"/>
          <w:lang w:val="en-US" w:eastAsia="zh-CN" w:bidi="ar-SA"/>
          <w14:textFill>
            <w14:solidFill>
              <w14:schemeClr w14:val="tx1"/>
            </w14:solidFill>
          </w14:textFill>
        </w:rPr>
        <w:t>基地污水处理站</w:t>
      </w:r>
      <w:r>
        <w:rPr>
          <w:rFonts w:hint="default" w:ascii="Times New Roman" w:hAnsi="Times New Roman" w:eastAsia="宋体" w:cs="Times New Roman"/>
          <w:color w:val="000000" w:themeColor="text1"/>
          <w:kern w:val="2"/>
          <w:sz w:val="28"/>
          <w:szCs w:val="24"/>
          <w:lang w:val="en-US" w:eastAsia="zh-CN" w:bidi="ar-SA"/>
          <w14:textFill>
            <w14:solidFill>
              <w14:schemeClr w14:val="tx1"/>
            </w14:solidFill>
          </w14:textFill>
        </w:rPr>
        <w:t>集中处理，因此不存在这些废气。</w:t>
      </w:r>
    </w:p>
    <w:p>
      <w:pPr>
        <w:pStyle w:val="34"/>
        <w:spacing w:beforeLines="0"/>
        <w:rPr>
          <w:rFonts w:hint="default" w:ascii="Times New Roman" w:hAnsi="Times New Roman" w:cs="Times New Roman"/>
          <w:szCs w:val="28"/>
        </w:rPr>
      </w:pPr>
      <w:r>
        <w:rPr>
          <w:rFonts w:hint="default" w:ascii="Times New Roman" w:hAnsi="Times New Roman" w:cs="Times New Roman"/>
        </w:rPr>
        <w:t>3.6 项目变动情况</w:t>
      </w:r>
      <w:bookmarkEnd w:id="88"/>
      <w:bookmarkEnd w:id="89"/>
    </w:p>
    <w:p>
      <w:pPr>
        <w:tabs>
          <w:tab w:val="left" w:pos="757"/>
        </w:tabs>
        <w:spacing w:line="360" w:lineRule="auto"/>
        <w:ind w:firstLine="560" w:firstLineChars="200"/>
        <w:jc w:val="left"/>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经现场调查确认，企业</w:t>
      </w:r>
      <w:r>
        <w:rPr>
          <w:rFonts w:hint="eastAsia" w:cs="Times New Roman"/>
          <w:color w:val="000000" w:themeColor="text1"/>
          <w:sz w:val="28"/>
          <w:lang w:eastAsia="zh-CN"/>
          <w14:textFill>
            <w14:solidFill>
              <w14:schemeClr w14:val="tx1"/>
            </w14:solidFill>
          </w14:textFill>
        </w:rPr>
        <w:t>实际</w:t>
      </w:r>
      <w:r>
        <w:rPr>
          <w:rFonts w:hint="default" w:ascii="Times New Roman" w:hAnsi="Times New Roman" w:eastAsia="宋体" w:cs="Times New Roman"/>
          <w:kern w:val="2"/>
          <w:sz w:val="28"/>
          <w:szCs w:val="28"/>
          <w:lang w:val="en-US" w:eastAsia="zh-CN" w:bidi="ar-SA"/>
        </w:rPr>
        <w:t>一车间二楼</w:t>
      </w:r>
      <w:r>
        <w:rPr>
          <w:rFonts w:hint="eastAsia" w:ascii="Times New Roman" w:hAnsi="Times New Roman" w:cs="Times New Roman"/>
          <w:kern w:val="2"/>
          <w:sz w:val="28"/>
          <w:szCs w:val="28"/>
          <w:lang w:val="en-US" w:eastAsia="zh-CN" w:bidi="ar-SA"/>
        </w:rPr>
        <w:t>改建的</w:t>
      </w:r>
      <w:r>
        <w:rPr>
          <w:rFonts w:hint="default" w:ascii="Times New Roman" w:hAnsi="Times New Roman" w:eastAsia="宋体" w:cs="Times New Roman"/>
          <w:kern w:val="2"/>
          <w:sz w:val="28"/>
          <w:szCs w:val="28"/>
          <w:lang w:val="en-US" w:eastAsia="zh-CN" w:bidi="ar-SA"/>
        </w:rPr>
        <w:t>镀银工艺</w:t>
      </w:r>
      <w:r>
        <w:rPr>
          <w:rFonts w:hint="default" w:ascii="Times New Roman" w:hAnsi="Times New Roman" w:cs="Times New Roman"/>
          <w:kern w:val="2"/>
          <w:sz w:val="28"/>
          <w:szCs w:val="28"/>
          <w:lang w:val="en-US" w:eastAsia="zh-CN" w:bidi="ar-SA"/>
        </w:rPr>
        <w:t>、</w:t>
      </w:r>
      <w:r>
        <w:rPr>
          <w:rFonts w:hint="default" w:ascii="Times New Roman" w:hAnsi="Times New Roman" w:eastAsia="宋体" w:cs="Times New Roman"/>
          <w:kern w:val="2"/>
          <w:sz w:val="28"/>
          <w:szCs w:val="28"/>
          <w:lang w:val="en-US" w:eastAsia="zh-CN" w:bidi="ar-SA"/>
        </w:rPr>
        <w:t>超声研磨工艺</w:t>
      </w:r>
      <w:r>
        <w:rPr>
          <w:rFonts w:hint="default" w:ascii="Times New Roman" w:hAnsi="Times New Roman" w:cs="Times New Roman"/>
          <w:kern w:val="2"/>
          <w:sz w:val="28"/>
          <w:szCs w:val="28"/>
          <w:lang w:val="en-US" w:eastAsia="zh-CN" w:bidi="ar-SA"/>
        </w:rPr>
        <w:t>并未投产，</w:t>
      </w:r>
      <w:r>
        <w:rPr>
          <w:rFonts w:hint="default" w:ascii="Times New Roman" w:hAnsi="Times New Roman" w:eastAsia="宋体" w:cs="Times New Roman"/>
          <w:kern w:val="2"/>
          <w:sz w:val="28"/>
          <w:szCs w:val="28"/>
          <w:lang w:val="en-US" w:eastAsia="zh-CN" w:bidi="ar-SA"/>
        </w:rPr>
        <w:t>二车间二楼喷漆酸洗线移至二车间四楼</w:t>
      </w:r>
      <w:r>
        <w:rPr>
          <w:rFonts w:hint="default" w:ascii="Times New Roman" w:hAnsi="Times New Roman" w:cs="Times New Roman"/>
          <w:kern w:val="2"/>
          <w:sz w:val="28"/>
          <w:szCs w:val="28"/>
          <w:lang w:val="en-US" w:eastAsia="zh-CN" w:bidi="ar-SA"/>
        </w:rPr>
        <w:t>（实际未投产），此次</w:t>
      </w:r>
      <w:r>
        <w:rPr>
          <w:rFonts w:hint="eastAsia" w:cs="Times New Roman"/>
          <w:kern w:val="2"/>
          <w:sz w:val="28"/>
          <w:szCs w:val="28"/>
          <w:lang w:val="en-US" w:eastAsia="zh-CN" w:bidi="ar-SA"/>
        </w:rPr>
        <w:t>为</w:t>
      </w:r>
      <w:r>
        <w:rPr>
          <w:rFonts w:hint="default" w:ascii="Times New Roman" w:hAnsi="Times New Roman" w:cs="Times New Roman"/>
          <w:kern w:val="2"/>
          <w:sz w:val="28"/>
          <w:szCs w:val="28"/>
          <w:lang w:val="en-US" w:eastAsia="zh-CN" w:bidi="ar-SA"/>
        </w:rPr>
        <w:t>阶段性验收</w:t>
      </w:r>
      <w:r>
        <w:rPr>
          <w:rFonts w:hint="default" w:ascii="Times New Roman" w:hAnsi="Times New Roman" w:cs="Times New Roman"/>
          <w:sz w:val="28"/>
        </w:rPr>
        <w:t>，详见表3-2</w:t>
      </w:r>
      <w:r>
        <w:rPr>
          <w:rFonts w:hint="default" w:ascii="Times New Roman" w:hAnsi="Times New Roman" w:cs="Times New Roman"/>
          <w:sz w:val="28"/>
          <w:lang w:eastAsia="zh-CN"/>
        </w:rPr>
        <w:t>，</w:t>
      </w:r>
      <w:r>
        <w:rPr>
          <w:rFonts w:hint="eastAsia" w:cs="Times New Roman"/>
          <w:color w:val="000000" w:themeColor="text1"/>
          <w:sz w:val="28"/>
          <w:lang w:eastAsia="zh-CN"/>
          <w14:textFill>
            <w14:solidFill>
              <w14:schemeClr w14:val="tx1"/>
            </w14:solidFill>
          </w14:textFill>
        </w:rPr>
        <w:t>其余建设情况与环评内容基本一致</w:t>
      </w:r>
      <w:r>
        <w:rPr>
          <w:rFonts w:hint="default" w:ascii="Times New Roman" w:hAnsi="Times New Roman" w:cs="Times New Roman"/>
          <w:color w:val="000000" w:themeColor="text1"/>
          <w:sz w:val="28"/>
          <w14:textFill>
            <w14:solidFill>
              <w14:schemeClr w14:val="tx1"/>
            </w14:solidFill>
          </w14:textFill>
        </w:rPr>
        <w:t>。</w:t>
      </w:r>
    </w:p>
    <w:p>
      <w:pPr>
        <w:pStyle w:val="97"/>
        <w:keepNext w:val="0"/>
        <w:keepLines w:val="0"/>
        <w:pageBreakBefore w:val="0"/>
        <w:widowControl w:val="0"/>
        <w:kinsoku/>
        <w:wordWrap/>
        <w:overflowPunct/>
        <w:topLinePunct w:val="0"/>
        <w:autoSpaceDE/>
        <w:autoSpaceDN/>
        <w:bidi w:val="0"/>
        <w:spacing w:before="0" w:beforeLines="0" w:after="0" w:afterLines="0"/>
        <w:textAlignment w:val="auto"/>
        <w:rPr>
          <w:rFonts w:hint="default" w:ascii="Times New Roman" w:hAnsi="Times New Roman" w:cs="Times New Roman"/>
          <w:kern w:val="0"/>
        </w:rPr>
      </w:pPr>
      <w:r>
        <w:rPr>
          <w:rFonts w:hint="default" w:ascii="Times New Roman" w:hAnsi="Times New Roman" w:cs="Times New Roman"/>
        </w:rPr>
        <w:br w:type="page"/>
      </w:r>
      <w:r>
        <w:rPr>
          <w:rFonts w:hint="default" w:ascii="Times New Roman" w:hAnsi="Times New Roman" w:cs="Times New Roman"/>
          <w:kern w:val="0"/>
        </w:rPr>
        <w:t>4 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Times New Roman" w:hAnsi="Times New Roman" w:cs="Times New Roman"/>
          <w:color w:val="000000"/>
          <w:kern w:val="2"/>
          <w:sz w:val="28"/>
        </w:rPr>
      </w:pPr>
      <w:r>
        <w:rPr>
          <w:rFonts w:hint="default" w:ascii="Times New Roman" w:hAnsi="Times New Roman" w:cs="Times New Roman"/>
          <w:b/>
          <w:bCs/>
          <w:sz w:val="32"/>
          <w:szCs w:val="32"/>
        </w:rPr>
        <w:t>4.1</w:t>
      </w:r>
      <w:r>
        <w:rPr>
          <w:rFonts w:hint="default" w:ascii="Times New Roman" w:hAnsi="Times New Roman" w:cs="Times New Roman"/>
          <w:color w:val="000000"/>
          <w:sz w:val="28"/>
        </w:rPr>
        <w:t>工业涂装行业</w:t>
      </w:r>
      <w:r>
        <w:rPr>
          <w:rFonts w:hint="default" w:ascii="Times New Roman" w:hAnsi="Times New Roman" w:cs="Times New Roman"/>
          <w:color w:val="000000"/>
          <w:kern w:val="2"/>
          <w:sz w:val="28"/>
        </w:rPr>
        <w:t>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4"/>
        </w:rPr>
      </w:pPr>
      <w:r>
        <w:rPr>
          <w:rFonts w:hint="default" w:ascii="Times New Roman" w:hAnsi="Times New Roman" w:cs="Times New Roman"/>
          <w:color w:val="000000"/>
          <w:sz w:val="28"/>
        </w:rPr>
        <w:t>本项目为工业涂装行业，根据原温州市环境保护局《关于印发工业涂装等企业污染整治提升技术指南的通知》（温环发〔2018〕100号）中的附件3《温州市工业涂装企业污染整治提升技术指南》，从政策法规、污染防治、环境管理等方面，结合公司现状逐一对照分析，通过严格排查，梳理问题，找出存在的差距。并结合公司实际，提出整改措施和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cs="Times New Roman"/>
          <w:b/>
          <w:bCs/>
          <w:color w:val="FF0000"/>
          <w:sz w:val="28"/>
          <w:szCs w:val="28"/>
        </w:rPr>
      </w:pPr>
      <w:bookmarkStart w:id="90" w:name="_Toc16237"/>
      <w:bookmarkStart w:id="91" w:name="_Toc21120"/>
      <w:bookmarkStart w:id="92" w:name="_Toc12162"/>
      <w:bookmarkStart w:id="93" w:name="_Toc17676"/>
      <w:bookmarkStart w:id="94" w:name="_Toc22367"/>
      <w:bookmarkStart w:id="95" w:name="_Toc30496"/>
      <w:bookmarkStart w:id="96" w:name="_Toc15586"/>
      <w:bookmarkStart w:id="97" w:name="_Toc26415"/>
      <w:bookmarkStart w:id="98" w:name="_Toc21072"/>
      <w:bookmarkStart w:id="99" w:name="_Toc29415"/>
      <w:r>
        <w:rPr>
          <w:rFonts w:hint="default" w:ascii="Times New Roman" w:hAnsi="Times New Roman" w:cs="Times New Roman"/>
          <w:b/>
          <w:bCs/>
          <w:sz w:val="32"/>
          <w:szCs w:val="32"/>
        </w:rPr>
        <w:t>4.1</w:t>
      </w:r>
      <w:r>
        <w:rPr>
          <w:rFonts w:hint="eastAsia" w:cs="Times New Roman"/>
          <w:b/>
          <w:bCs/>
          <w:sz w:val="32"/>
          <w:szCs w:val="32"/>
          <w:lang w:val="en-US" w:eastAsia="zh-CN"/>
        </w:rPr>
        <w:t>.1</w:t>
      </w:r>
      <w:r>
        <w:rPr>
          <w:rFonts w:hint="default" w:ascii="Times New Roman" w:hAnsi="Times New Roman" w:cs="Times New Roman"/>
          <w:b/>
          <w:bCs/>
          <w:sz w:val="32"/>
          <w:szCs w:val="32"/>
        </w:rPr>
        <w:t>技术指南差距分析</w:t>
      </w:r>
      <w:bookmarkEnd w:id="90"/>
      <w:bookmarkEnd w:id="91"/>
      <w:bookmarkEnd w:id="92"/>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hint="default" w:ascii="Times New Roman" w:hAnsi="Times New Roman" w:cs="Times New Roman"/>
          <w:b/>
          <w:sz w:val="28"/>
          <w:szCs w:val="28"/>
        </w:rPr>
      </w:pPr>
      <w:bookmarkStart w:id="100" w:name="_Toc357344694"/>
      <w:bookmarkStart w:id="101" w:name="_Toc28281"/>
      <w:bookmarkStart w:id="102" w:name="_Toc1785"/>
      <w:bookmarkStart w:id="103" w:name="_Toc17298"/>
      <w:bookmarkStart w:id="104" w:name="_Toc6560"/>
      <w:bookmarkStart w:id="105" w:name="_Toc8874"/>
      <w:bookmarkStart w:id="106" w:name="_Toc198"/>
      <w:bookmarkStart w:id="107" w:name="_Toc8082"/>
      <w:bookmarkStart w:id="108" w:name="_Toc4106"/>
      <w:bookmarkStart w:id="109" w:name="_Toc1612"/>
      <w:r>
        <w:rPr>
          <w:rFonts w:hint="default" w:ascii="Times New Roman" w:hAnsi="Times New Roman" w:cs="Times New Roman"/>
          <w:b/>
          <w:sz w:val="28"/>
          <w:szCs w:val="28"/>
        </w:rPr>
        <w:t>4.1.1</w:t>
      </w:r>
      <w:bookmarkEnd w:id="100"/>
      <w:r>
        <w:rPr>
          <w:rFonts w:hint="eastAsia" w:cs="Times New Roman"/>
          <w:b/>
          <w:sz w:val="28"/>
          <w:szCs w:val="28"/>
          <w:lang w:val="en-US" w:eastAsia="zh-CN"/>
        </w:rPr>
        <w:t>.1</w:t>
      </w:r>
      <w:r>
        <w:rPr>
          <w:rFonts w:hint="default" w:ascii="Times New Roman" w:hAnsi="Times New Roman" w:cs="Times New Roman"/>
          <w:b/>
          <w:sz w:val="28"/>
          <w:szCs w:val="28"/>
        </w:rPr>
        <w:t>生产合法性</w:t>
      </w:r>
      <w:bookmarkEnd w:id="101"/>
      <w:bookmarkEnd w:id="102"/>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bookmarkStart w:id="110" w:name="_Toc355586642"/>
      <w:bookmarkStart w:id="111" w:name="_Toc13998"/>
      <w:bookmarkStart w:id="112" w:name="_Toc1431"/>
      <w:bookmarkStart w:id="113" w:name="_Toc3033"/>
      <w:r>
        <w:rPr>
          <w:rFonts w:hint="default" w:ascii="Times New Roman" w:hAnsi="Times New Roman" w:cs="Times New Roman"/>
          <w:b/>
          <w:sz w:val="28"/>
          <w:szCs w:val="28"/>
        </w:rPr>
        <w:t>4.1.1.1</w:t>
      </w:r>
      <w:r>
        <w:rPr>
          <w:rFonts w:hint="eastAsia" w:cs="Times New Roman"/>
          <w:b/>
          <w:sz w:val="28"/>
          <w:szCs w:val="28"/>
          <w:lang w:val="en-US" w:eastAsia="zh-CN"/>
        </w:rPr>
        <w:t>.1</w:t>
      </w:r>
      <w:r>
        <w:rPr>
          <w:rFonts w:hint="default" w:ascii="Times New Roman" w:hAnsi="Times New Roman" w:cs="Times New Roman"/>
          <w:b/>
          <w:sz w:val="28"/>
          <w:szCs w:val="28"/>
        </w:rPr>
        <w:t xml:space="preserve"> 考核指标</w:t>
      </w:r>
      <w:bookmarkEnd w:id="110"/>
      <w:r>
        <w:rPr>
          <w:rFonts w:hint="default" w:ascii="Times New Roman" w:hAnsi="Times New Roman" w:cs="Times New Roman"/>
          <w:b/>
          <w:sz w:val="28"/>
          <w:szCs w:val="28"/>
        </w:rPr>
        <w:t>1</w:t>
      </w:r>
      <w:bookmarkEnd w:id="111"/>
      <w:bookmarkEnd w:id="112"/>
      <w:bookmarkEnd w:id="113"/>
      <w:r>
        <w:rPr>
          <w:rFonts w:hint="default" w:ascii="Times New Roman" w:hAnsi="Times New Roman" w:cs="Times New Roman"/>
          <w:b/>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sz w:val="28"/>
          <w:szCs w:val="28"/>
        </w:rPr>
        <w:t>执行环境影响评价制度和“三同时”验收制度。</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经企业自查，企业</w:t>
      </w:r>
      <w:r>
        <w:rPr>
          <w:rFonts w:hint="default" w:ascii="Times New Roman" w:hAnsi="Times New Roman" w:eastAsia="宋体" w:cs="Times New Roman"/>
          <w:kern w:val="2"/>
          <w:sz w:val="28"/>
          <w:szCs w:val="28"/>
          <w:lang w:val="en-US" w:eastAsia="zh-CN" w:bidi="ar-SA"/>
        </w:rPr>
        <w:t>企业于2013年委托编制完成《平阳县滩涂围垦区C11地块厂房建设项目（平阳县万鹏表面处理有限公司迁建整合提升项目）环境影响报告书》，并于同年通过原平阳县环境保护局审批（平环建[2013]113号）；于2015年委托编制完成《平阳县滩涂围垦区C11地块厂房建设项目（平阳县万鹏表面处理有限公司迁建整合提升项目）环境影响后评价》，已经原平阳县环保局备案（备案号：2015015）。上述项目于2015年9月通过阶段性验收（平环验[2015]44号）</w:t>
      </w:r>
      <w:r>
        <w:rPr>
          <w:rFonts w:hint="eastAsia" w:ascii="Times New Roman" w:hAnsi="Times New Roman" w:cs="Times New Roman"/>
          <w:kern w:val="2"/>
          <w:sz w:val="28"/>
          <w:szCs w:val="28"/>
          <w:lang w:val="en-US" w:eastAsia="zh-CN" w:bidi="ar-SA"/>
        </w:rPr>
        <w:t>。</w:t>
      </w:r>
      <w:r>
        <w:rPr>
          <w:rFonts w:hint="default" w:ascii="Times New Roman" w:hAnsi="Times New Roman" w:cs="Times New Roman"/>
          <w:sz w:val="28"/>
          <w:szCs w:val="28"/>
        </w:rPr>
        <w:t>企业于</w:t>
      </w:r>
      <w:r>
        <w:rPr>
          <w:rFonts w:hint="default" w:ascii="Times New Roman" w:hAnsi="Times New Roman" w:cs="Times New Roman"/>
          <w:sz w:val="28"/>
          <w:szCs w:val="28"/>
          <w:lang w:eastAsia="zh-CN"/>
        </w:rPr>
        <w:t>2019年11月</w:t>
      </w:r>
      <w:r>
        <w:rPr>
          <w:rFonts w:hint="default" w:ascii="Times New Roman" w:hAnsi="Times New Roman" w:cs="Times New Roman"/>
          <w:sz w:val="28"/>
          <w:szCs w:val="28"/>
        </w:rPr>
        <w:t>委托</w:t>
      </w:r>
      <w:r>
        <w:rPr>
          <w:rFonts w:hint="default" w:ascii="Times New Roman" w:hAnsi="Times New Roman" w:cs="Times New Roman"/>
          <w:sz w:val="28"/>
          <w:szCs w:val="28"/>
          <w:lang w:eastAsia="zh-CN"/>
        </w:rPr>
        <w:t>浙江中蓝环境科技有限公司</w:t>
      </w:r>
      <w:r>
        <w:rPr>
          <w:rFonts w:hint="default" w:ascii="Times New Roman" w:hAnsi="Times New Roman" w:cs="Times New Roman"/>
          <w:sz w:val="28"/>
          <w:szCs w:val="28"/>
        </w:rPr>
        <w:t>编制完成了《</w:t>
      </w:r>
      <w:r>
        <w:rPr>
          <w:rFonts w:hint="default" w:ascii="Times New Roman" w:hAnsi="Times New Roman" w:cs="Times New Roman"/>
          <w:sz w:val="28"/>
          <w:szCs w:val="28"/>
          <w:lang w:eastAsia="zh-CN"/>
        </w:rPr>
        <w:t>平阳县万鹏表面处理有限公司年产6000吨五金件产品项目</w:t>
      </w:r>
      <w:r>
        <w:rPr>
          <w:rFonts w:hint="default" w:ascii="Times New Roman" w:hAnsi="Times New Roman" w:cs="Times New Roman"/>
          <w:sz w:val="28"/>
          <w:szCs w:val="28"/>
        </w:rPr>
        <w:t>环境影响</w:t>
      </w:r>
      <w:r>
        <w:rPr>
          <w:rFonts w:hint="default" w:ascii="Times New Roman" w:hAnsi="Times New Roman" w:cs="Times New Roman"/>
          <w:sz w:val="28"/>
          <w:szCs w:val="28"/>
          <w:lang w:eastAsia="zh-CN"/>
        </w:rPr>
        <w:t>报告书</w:t>
      </w:r>
      <w:r>
        <w:rPr>
          <w:rFonts w:hint="default" w:ascii="Times New Roman" w:hAnsi="Times New Roman" w:cs="Times New Roman"/>
          <w:sz w:val="28"/>
          <w:szCs w:val="28"/>
        </w:rPr>
        <w:t>》，</w:t>
      </w:r>
      <w:r>
        <w:rPr>
          <w:rFonts w:hint="default" w:ascii="Times New Roman" w:hAnsi="Times New Roman" w:cs="Times New Roman"/>
          <w:sz w:val="28"/>
          <w:szCs w:val="28"/>
          <w:lang w:eastAsia="zh-CN"/>
        </w:rPr>
        <w:t>2019年12月2日</w:t>
      </w:r>
      <w:r>
        <w:rPr>
          <w:rFonts w:hint="default" w:ascii="Times New Roman" w:hAnsi="Times New Roman" w:cs="Times New Roman"/>
          <w:sz w:val="28"/>
          <w:szCs w:val="28"/>
        </w:rPr>
        <w:t>通过</w:t>
      </w:r>
      <w:r>
        <w:rPr>
          <w:rFonts w:hint="default" w:ascii="Times New Roman" w:hAnsi="Times New Roman" w:cs="Times New Roman"/>
          <w:sz w:val="28"/>
          <w:szCs w:val="28"/>
          <w:lang w:eastAsia="zh-CN"/>
        </w:rPr>
        <w:t>温州市生态环境局</w:t>
      </w:r>
      <w:r>
        <w:rPr>
          <w:rFonts w:hint="default" w:ascii="Times New Roman" w:hAnsi="Times New Roman" w:cs="Times New Roman"/>
          <w:sz w:val="28"/>
          <w:szCs w:val="28"/>
        </w:rPr>
        <w:t>审批(</w:t>
      </w:r>
      <w:r>
        <w:rPr>
          <w:rFonts w:hint="default" w:ascii="Times New Roman" w:hAnsi="Times New Roman" w:cs="Times New Roman"/>
          <w:sz w:val="28"/>
          <w:szCs w:val="28"/>
          <w:lang w:eastAsia="zh-CN"/>
        </w:rPr>
        <w:t>温环平建[2019]204号</w:t>
      </w:r>
      <w:r>
        <w:rPr>
          <w:rFonts w:hint="default" w:ascii="Times New Roman" w:hAnsi="Times New Roman" w:cs="Times New Roman"/>
          <w:sz w:val="28"/>
          <w:szCs w:val="28"/>
        </w:rPr>
        <w:t>)，</w:t>
      </w:r>
      <w:r>
        <w:rPr>
          <w:rFonts w:hint="default" w:ascii="Times New Roman" w:hAnsi="Times New Roman" w:cs="Times New Roman"/>
          <w:color w:val="000000"/>
          <w:sz w:val="28"/>
          <w:szCs w:val="28"/>
        </w:rPr>
        <w:t>现</w:t>
      </w:r>
      <w:r>
        <w:rPr>
          <w:rFonts w:hint="default" w:ascii="Times New Roman" w:hAnsi="Times New Roman" w:cs="Times New Roman"/>
          <w:sz w:val="28"/>
          <w:szCs w:val="28"/>
        </w:rPr>
        <w:t>主体工程工况稳定，环保设施运行正常，正进行三同时验收过程中，执行了“三同时”验收制度。</w:t>
      </w:r>
      <w:r>
        <w:rPr>
          <w:rFonts w:hint="eastAsia" w:cs="Times New Roman"/>
          <w:b/>
          <w:bCs/>
          <w:sz w:val="28"/>
          <w:szCs w:val="28"/>
          <w:lang w:eastAsia="zh-CN"/>
        </w:rPr>
        <w:t>基本</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hint="default" w:ascii="Times New Roman" w:hAnsi="Times New Roman" w:cs="Times New Roman"/>
          <w:b/>
          <w:sz w:val="28"/>
          <w:szCs w:val="28"/>
        </w:rPr>
      </w:pPr>
      <w:bookmarkStart w:id="114" w:name="_Toc28669"/>
      <w:bookmarkStart w:id="115" w:name="_Toc16294"/>
      <w:bookmarkStart w:id="116" w:name="_Toc6698"/>
      <w:bookmarkStart w:id="117" w:name="_Toc21164"/>
      <w:bookmarkStart w:id="118" w:name="_Toc21616"/>
      <w:bookmarkStart w:id="119" w:name="_Toc9522"/>
      <w:bookmarkStart w:id="120" w:name="_Toc4624"/>
      <w:bookmarkStart w:id="121" w:name="_Toc28594"/>
      <w:bookmarkStart w:id="122" w:name="_Toc17639"/>
      <w:r>
        <w:rPr>
          <w:rFonts w:hint="default" w:ascii="Times New Roman" w:hAnsi="Times New Roman" w:cs="Times New Roman"/>
          <w:b/>
          <w:sz w:val="28"/>
          <w:szCs w:val="28"/>
        </w:rPr>
        <w:t>4.</w:t>
      </w:r>
      <w:r>
        <w:rPr>
          <w:rFonts w:hint="eastAsia" w:cs="Times New Roman"/>
          <w:b/>
          <w:sz w:val="28"/>
          <w:szCs w:val="28"/>
          <w:lang w:val="en-US" w:eastAsia="zh-CN"/>
        </w:rPr>
        <w:t>1.</w:t>
      </w:r>
      <w:r>
        <w:rPr>
          <w:rFonts w:hint="default" w:ascii="Times New Roman" w:hAnsi="Times New Roman" w:cs="Times New Roman"/>
          <w:b/>
          <w:sz w:val="28"/>
          <w:szCs w:val="28"/>
        </w:rPr>
        <w:t>1.2废气收集与处理</w:t>
      </w:r>
      <w:bookmarkEnd w:id="114"/>
      <w:bookmarkEnd w:id="115"/>
      <w:bookmarkEnd w:id="116"/>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2"/>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 xml:space="preserve">.2.1 考核指标2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涂装、流平、晾干、烘干等工序应密闭收集废气，家具行业喷漆环节确实无法密闭的，应当采取措施减少废气排放（如半密闭收集废气，尽量减少开口）</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经企业自查，企业</w:t>
      </w:r>
      <w:r>
        <w:rPr>
          <w:rFonts w:hint="eastAsia" w:cs="Times New Roman"/>
          <w:sz w:val="28"/>
          <w:szCs w:val="28"/>
          <w:lang w:eastAsia="zh-CN"/>
        </w:rPr>
        <w:t>一车间</w:t>
      </w:r>
      <w:r>
        <w:rPr>
          <w:rFonts w:hint="eastAsia" w:cs="Times New Roman"/>
          <w:sz w:val="28"/>
          <w:szCs w:val="28"/>
          <w:lang w:val="en-US" w:eastAsia="zh-CN"/>
        </w:rPr>
        <w:t>2F自动</w:t>
      </w:r>
      <w:r>
        <w:rPr>
          <w:rFonts w:hint="default" w:ascii="Times New Roman" w:hAnsi="Times New Roman" w:cs="Times New Roman"/>
          <w:sz w:val="28"/>
          <w:szCs w:val="28"/>
        </w:rPr>
        <w:t>喷漆工序均在密闭喷漆房中进行，烘</w:t>
      </w:r>
      <w:r>
        <w:rPr>
          <w:rFonts w:hint="eastAsia" w:cs="Times New Roman"/>
          <w:sz w:val="28"/>
          <w:szCs w:val="28"/>
          <w:lang w:eastAsia="zh-CN"/>
        </w:rPr>
        <w:t>道</w:t>
      </w:r>
      <w:r>
        <w:rPr>
          <w:rFonts w:hint="default" w:ascii="Times New Roman" w:hAnsi="Times New Roman" w:cs="Times New Roman"/>
          <w:sz w:val="28"/>
          <w:szCs w:val="28"/>
        </w:rPr>
        <w:t>废气密闭集气。</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 xml:space="preserve">.2.2 考核指标3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溶剂型涂料、稀释剂等的调配作业必须在独立空间内完成，要密闭收集废气，盛放含挥发性有机物的容器必须加盖密闭</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经企业自查，项目配漆过程均在密闭喷漆房内</w:t>
      </w:r>
      <w:r>
        <w:rPr>
          <w:rFonts w:hint="eastAsia" w:cs="Times New Roman"/>
          <w:sz w:val="28"/>
          <w:szCs w:val="28"/>
          <w:lang w:eastAsia="zh-CN"/>
        </w:rPr>
        <w:t>进行</w:t>
      </w:r>
      <w:r>
        <w:rPr>
          <w:rFonts w:hint="default" w:ascii="Times New Roman" w:hAnsi="Times New Roman" w:cs="Times New Roman"/>
          <w:sz w:val="28"/>
          <w:szCs w:val="28"/>
        </w:rPr>
        <w:t>，使用后的物料桶加盖密闭。</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 xml:space="preserve">.2.3 考核指标4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密闭、半密闭排风罩设计应满足《排风罩的分类及技术条件》（GB/T16758-2008），确保废气有效收集</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经企业自查，喷漆工序均在密闭喷漆房内完成，废气得到了收集。</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 xml:space="preserve">.2.4 考核指标5 </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喷涂车间通风装置的位置、功率合理设计，不影响喷涂废气的收集</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经企业自查，目前喷漆车间</w:t>
      </w:r>
      <w:r>
        <w:rPr>
          <w:rFonts w:hint="default" w:ascii="Times New Roman" w:hAnsi="Times New Roman" w:cs="Times New Roman"/>
          <w:bCs/>
          <w:kern w:val="0"/>
          <w:sz w:val="28"/>
          <w:szCs w:val="28"/>
        </w:rPr>
        <w:t>通风装置的位置、功率合理设计，不影响喷涂废气的收集</w:t>
      </w:r>
      <w:r>
        <w:rPr>
          <w:rFonts w:hint="default" w:ascii="Times New Roman" w:hAnsi="Times New Roman"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.2.5 考核指标6</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配套建设废气处理设施，溶剂型涂料喷涂应有漆雾去除装置和VOCs处理装置（VOCs处理不得仅采用单一水喷淋方式）</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bCs/>
          <w:sz w:val="28"/>
          <w:szCs w:val="28"/>
        </w:rPr>
        <w:t>经企业自查，喷漆废气经</w:t>
      </w:r>
      <w:r>
        <w:rPr>
          <w:rFonts w:hint="eastAsia" w:ascii="Times New Roman" w:hAnsi="Times New Roman" w:cs="Times New Roman"/>
          <w:bCs/>
          <w:sz w:val="28"/>
          <w:szCs w:val="28"/>
          <w:lang w:val="en-US" w:eastAsia="zh-CN"/>
        </w:rPr>
        <w:t>水喷淋塔+除雾器+UV光解+活性炭吸附设备</w:t>
      </w:r>
      <w:r>
        <w:rPr>
          <w:rFonts w:hint="default" w:ascii="Times New Roman" w:hAnsi="Times New Roman" w:cs="Times New Roman"/>
          <w:bCs/>
          <w:sz w:val="28"/>
          <w:szCs w:val="28"/>
        </w:rPr>
        <w:t>处理达标后引至</w:t>
      </w:r>
      <w:r>
        <w:rPr>
          <w:rFonts w:hint="eastAsia" w:ascii="Times New Roman" w:hAnsi="Times New Roman" w:cs="Times New Roman"/>
          <w:bCs/>
          <w:sz w:val="28"/>
          <w:szCs w:val="28"/>
          <w:lang w:eastAsia="zh-CN"/>
        </w:rPr>
        <w:t>26米</w:t>
      </w:r>
      <w:r>
        <w:rPr>
          <w:rFonts w:hint="default" w:ascii="Times New Roman" w:hAnsi="Times New Roman" w:cs="Times New Roman"/>
          <w:bCs/>
          <w:sz w:val="28"/>
          <w:szCs w:val="28"/>
        </w:rPr>
        <w:t>高空排放。</w:t>
      </w:r>
      <w:r>
        <w:rPr>
          <w:rFonts w:hint="default" w:ascii="Times New Roman" w:hAnsi="Times New Roman" w:cs="Times New Roman"/>
          <w:b/>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.2.6 考核指标7</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挥发性有机废气收集、输送、处理、排放等方面工程建设应符合《大气污染治理工程技术导则》（HJ2000-2010）要求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经企业自查，企业喷漆工序在密闭喷房内进行，收集后的有机废气</w:t>
      </w:r>
      <w:r>
        <w:rPr>
          <w:rFonts w:hint="default" w:ascii="Times New Roman" w:hAnsi="Times New Roman" w:cs="Times New Roman"/>
          <w:bCs/>
          <w:sz w:val="28"/>
          <w:szCs w:val="28"/>
        </w:rPr>
        <w:t>经</w:t>
      </w:r>
      <w:r>
        <w:rPr>
          <w:rFonts w:hint="eastAsia" w:ascii="Times New Roman" w:hAnsi="Times New Roman" w:cs="Times New Roman"/>
          <w:bCs/>
          <w:sz w:val="28"/>
          <w:szCs w:val="28"/>
          <w:lang w:val="en-US" w:eastAsia="zh-CN"/>
        </w:rPr>
        <w:t>水喷淋塔+除雾器+UV光解+活性炭吸附设备</w:t>
      </w:r>
      <w:r>
        <w:rPr>
          <w:rFonts w:hint="default" w:ascii="Times New Roman" w:hAnsi="Times New Roman" w:cs="Times New Roman"/>
          <w:bCs/>
          <w:sz w:val="28"/>
          <w:szCs w:val="28"/>
        </w:rPr>
        <w:t>处理达标后引至</w:t>
      </w:r>
      <w:r>
        <w:rPr>
          <w:rFonts w:hint="eastAsia" w:ascii="Times New Roman" w:hAnsi="Times New Roman" w:cs="Times New Roman"/>
          <w:bCs/>
          <w:sz w:val="28"/>
          <w:szCs w:val="28"/>
          <w:lang w:eastAsia="zh-CN"/>
        </w:rPr>
        <w:t>26米</w:t>
      </w:r>
      <w:r>
        <w:rPr>
          <w:rFonts w:hint="default" w:ascii="Times New Roman" w:hAnsi="Times New Roman" w:cs="Times New Roman"/>
          <w:bCs/>
          <w:sz w:val="28"/>
          <w:szCs w:val="28"/>
        </w:rPr>
        <w:t>高空排放</w:t>
      </w:r>
      <w:r>
        <w:rPr>
          <w:rFonts w:hint="default" w:ascii="Times New Roman" w:hAnsi="Times New Roman"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.2.7 考核指标8</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废气排放、处理效率要符合《工业涂装工序大气污染物排放标准》（DB33/2146-2018）及环评相关要求。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w:t>
      </w:r>
      <w:r>
        <w:rPr>
          <w:rFonts w:hint="default" w:ascii="Times New Roman" w:hAnsi="Times New Roman" w:cs="Times New Roman"/>
          <w:color w:val="000000" w:themeColor="text1"/>
          <w:sz w:val="28"/>
          <w:szCs w:val="28"/>
          <w14:textFill>
            <w14:solidFill>
              <w14:schemeClr w14:val="tx1"/>
            </w14:solidFill>
          </w14:textFill>
        </w:rPr>
        <w:t>，由温州新鸿检测技术有限公司负责建设项目竣工环境保护验收监测，</w:t>
      </w:r>
      <w:r>
        <w:rPr>
          <w:rFonts w:hint="default" w:ascii="Times New Roman" w:hAnsi="Times New Roman" w:cs="Times New Roman"/>
          <w:bCs/>
          <w:kern w:val="0"/>
          <w:sz w:val="28"/>
          <w:szCs w:val="28"/>
        </w:rPr>
        <w:t>废气</w:t>
      </w:r>
      <w:r>
        <w:rPr>
          <w:rFonts w:hint="default" w:ascii="Times New Roman" w:hAnsi="Times New Roman" w:cs="Times New Roman"/>
          <w:color w:val="000000" w:themeColor="text1"/>
          <w:sz w:val="28"/>
          <w:szCs w:val="28"/>
          <w14:textFill>
            <w14:solidFill>
              <w14:schemeClr w14:val="tx1"/>
            </w14:solidFill>
          </w14:textFill>
        </w:rPr>
        <w:t>污染物排放浓度监测结果</w:t>
      </w:r>
      <w:r>
        <w:rPr>
          <w:rFonts w:hint="default" w:ascii="Times New Roman" w:hAnsi="Times New Roman" w:cs="Times New Roman"/>
          <w:bCs/>
          <w:color w:val="000000" w:themeColor="text1"/>
          <w:kern w:val="0"/>
          <w:sz w:val="28"/>
          <w:szCs w:val="28"/>
          <w14:textFill>
            <w14:solidFill>
              <w14:schemeClr w14:val="tx1"/>
            </w14:solidFill>
          </w14:textFill>
        </w:rPr>
        <w:t>符合《工业涂装工序大气污染物排放标准》（DB33/2146</w:t>
      </w:r>
      <w:r>
        <w:rPr>
          <w:rFonts w:hint="default" w:ascii="Times New Roman" w:hAnsi="Times New Roman" w:cs="Times New Roman"/>
          <w:bCs/>
          <w:kern w:val="0"/>
          <w:sz w:val="28"/>
          <w:szCs w:val="28"/>
        </w:rPr>
        <w:t>-2018）及环评相关要求</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kern w:val="0"/>
          <w:sz w:val="28"/>
          <w:szCs w:val="28"/>
        </w:rPr>
        <w:t>处理效率小于75%，</w:t>
      </w:r>
      <w:r>
        <w:rPr>
          <w:rFonts w:hint="default" w:ascii="Times New Roman" w:hAnsi="Times New Roman" w:cs="Times New Roman"/>
          <w:b/>
          <w:color w:val="000000" w:themeColor="text1"/>
          <w:kern w:val="0"/>
          <w:sz w:val="28"/>
          <w:szCs w:val="28"/>
          <w14:textFill>
            <w14:solidFill>
              <w14:schemeClr w14:val="tx1"/>
            </w14:solidFill>
          </w14:textFill>
        </w:rPr>
        <w:t>不</w:t>
      </w:r>
      <w:r>
        <w:rPr>
          <w:rFonts w:hint="default" w:ascii="Times New Roman" w:hAnsi="Times New Roman" w:cs="Times New Roman"/>
          <w:b/>
          <w:color w:val="000000" w:themeColor="text1"/>
          <w:sz w:val="28"/>
          <w:szCs w:val="28"/>
          <w14:textFill>
            <w14:solidFill>
              <w14:schemeClr w14:val="tx1"/>
            </w14:solidFill>
          </w14:textFill>
        </w:rPr>
        <w:t>符合考核要求</w:t>
      </w:r>
      <w:r>
        <w:rPr>
          <w:rFonts w:hint="default" w:ascii="Times New Roman" w:hAnsi="Times New Roman" w:cs="Times New Roman"/>
          <w:b/>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bookmarkStart w:id="123" w:name="_Toc24705"/>
      <w:bookmarkStart w:id="124" w:name="_Toc23814"/>
      <w:bookmarkStart w:id="125" w:name="_Toc6202"/>
      <w:bookmarkStart w:id="126" w:name="_Toc17026"/>
      <w:bookmarkStart w:id="127" w:name="_Toc5284"/>
      <w:bookmarkStart w:id="128" w:name="_Toc4523"/>
      <w:bookmarkStart w:id="129" w:name="_Toc14248"/>
      <w:bookmarkStart w:id="130" w:name="_Toc13023"/>
      <w:bookmarkStart w:id="131" w:name="_Toc4365"/>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.3废水处理</w:t>
      </w:r>
      <w:bookmarkEnd w:id="123"/>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.3.1 考核指标9</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实行雨污分流，雨水、生活污水、生产废水（包括废气处理产生的废水）收集、排放系统相互独立、清楚，生产废水采用明管收集。</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w:t>
      </w:r>
      <w:r>
        <w:rPr>
          <w:rFonts w:hint="default" w:ascii="Times New Roman" w:hAnsi="Times New Roman" w:cs="Times New Roman"/>
          <w:bCs/>
          <w:kern w:val="0"/>
          <w:sz w:val="28"/>
          <w:szCs w:val="28"/>
        </w:rPr>
        <w:t>企业自查，</w:t>
      </w:r>
      <w:r>
        <w:rPr>
          <w:rFonts w:hint="eastAsia" w:cs="Times New Roman"/>
          <w:color w:val="000000" w:themeColor="text1"/>
          <w:sz w:val="28"/>
          <w:lang w:eastAsia="zh-CN"/>
          <w14:textFill>
            <w14:solidFill>
              <w14:schemeClr w14:val="tx1"/>
            </w14:solidFill>
          </w14:textFill>
        </w:rPr>
        <w:t>改建</w:t>
      </w:r>
      <w:r>
        <w:rPr>
          <w:rFonts w:hint="default" w:ascii="Times New Roman" w:hAnsi="Times New Roman" w:cs="Times New Roman"/>
          <w:color w:val="000000" w:themeColor="text1"/>
          <w:sz w:val="28"/>
          <w14:textFill>
            <w14:solidFill>
              <w14:schemeClr w14:val="tx1"/>
            </w14:solidFill>
          </w14:textFill>
        </w:rPr>
        <w:t>项目及迁建整合提升项目（</w:t>
      </w:r>
      <w:r>
        <w:rPr>
          <w:rFonts w:hint="eastAsia" w:cs="Times New Roman"/>
          <w:color w:val="000000" w:themeColor="text1"/>
          <w:sz w:val="28"/>
          <w:lang w:eastAsia="zh-CN"/>
          <w14:textFill>
            <w14:solidFill>
              <w14:schemeClr w14:val="tx1"/>
            </w14:solidFill>
          </w14:textFill>
        </w:rPr>
        <w:t>一车间</w:t>
      </w:r>
      <w:r>
        <w:rPr>
          <w:rFonts w:hint="eastAsia" w:cs="Times New Roman"/>
          <w:color w:val="000000" w:themeColor="text1"/>
          <w:sz w:val="28"/>
          <w:lang w:val="en-US" w:eastAsia="zh-CN"/>
          <w14:textFill>
            <w14:solidFill>
              <w14:schemeClr w14:val="tx1"/>
            </w14:solidFill>
          </w14:textFill>
        </w:rPr>
        <w:t>2F自动喷漆车间</w:t>
      </w:r>
      <w:r>
        <w:rPr>
          <w:rFonts w:hint="default" w:ascii="Times New Roman" w:hAnsi="Times New Roman" w:cs="Times New Roman"/>
          <w:color w:val="000000" w:themeColor="text1"/>
          <w:sz w:val="28"/>
          <w14:textFill>
            <w14:solidFill>
              <w14:schemeClr w14:val="tx1"/>
            </w14:solidFill>
          </w14:textFill>
        </w:rPr>
        <w:t>）</w:t>
      </w:r>
      <w:r>
        <w:rPr>
          <w:rFonts w:hint="eastAsia" w:cs="Times New Roman"/>
          <w:color w:val="000000" w:themeColor="text1"/>
          <w:sz w:val="28"/>
          <w:lang w:eastAsia="zh-CN"/>
          <w14:textFill>
            <w14:solidFill>
              <w14:schemeClr w14:val="tx1"/>
            </w14:solidFill>
          </w14:textFill>
        </w:rPr>
        <w:t>项目</w:t>
      </w:r>
      <w:r>
        <w:rPr>
          <w:rFonts w:hint="default" w:ascii="Times New Roman" w:hAnsi="Times New Roman" w:cs="Times New Roman"/>
          <w:color w:val="000000" w:themeColor="text1"/>
          <w:sz w:val="28"/>
          <w14:textFill>
            <w14:solidFill>
              <w14:schemeClr w14:val="tx1"/>
            </w14:solidFill>
          </w14:textFill>
        </w:rPr>
        <w:t>废水主</w:t>
      </w:r>
      <w:r>
        <w:rPr>
          <w:rFonts w:hint="default" w:ascii="Times New Roman" w:hAnsi="Times New Roman" w:cs="Times New Roman"/>
          <w:color w:val="000000" w:themeColor="text1"/>
          <w:sz w:val="28"/>
          <w:lang w:eastAsia="zh-CN"/>
          <w14:textFill>
            <w14:solidFill>
              <w14:schemeClr w14:val="tx1"/>
            </w14:solidFill>
          </w14:textFill>
        </w:rPr>
        <w:t>要为</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lang w:eastAsia="zh-CN"/>
          <w14:textFill>
            <w14:solidFill>
              <w14:schemeClr w14:val="tx1"/>
            </w14:solidFill>
          </w14:textFill>
        </w:rPr>
        <w:t>电镀生产废水、废气处理喷淋塔废水和员工生活污水，其中生活污水经化粪池处理达到《污水综合排放标准》( GB8978-1996)三级标准后纳管排放；</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lang w:eastAsia="zh-CN"/>
          <w14:textFill>
            <w14:solidFill>
              <w14:schemeClr w14:val="tx1"/>
            </w14:solidFill>
          </w14:textFill>
        </w:rPr>
        <w:t>电镀生产废水、废气处理喷淋塔废水按前处理废水、含镍废水、含铬废水和混排废水等</w:t>
      </w:r>
      <w:r>
        <w:rPr>
          <w:rFonts w:hint="eastAsia" w:ascii="Times New Roman" w:hAnsi="Times New Roman" w:cs="Times New Roman"/>
          <w:color w:val="000000" w:themeColor="text1"/>
          <w:sz w:val="28"/>
          <w:lang w:eastAsia="zh-CN"/>
          <w14:textFill>
            <w14:solidFill>
              <w14:schemeClr w14:val="tx1"/>
            </w14:solidFill>
          </w14:textFill>
        </w:rPr>
        <w:t>四</w:t>
      </w:r>
      <w:r>
        <w:rPr>
          <w:rFonts w:hint="default" w:ascii="Times New Roman" w:hAnsi="Times New Roman" w:cs="Times New Roman"/>
          <w:color w:val="000000" w:themeColor="text1"/>
          <w:sz w:val="28"/>
          <w:lang w:eastAsia="zh-CN"/>
          <w14:textFill>
            <w14:solidFill>
              <w14:schemeClr w14:val="tx1"/>
            </w14:solidFill>
          </w14:textFill>
        </w:rPr>
        <w:t>股分别收集后纳入基地污水处理站集中处理处理达到《电镀污染物排放标准》(GB21900-2008)表2中的排放限值后排入</w:t>
      </w:r>
      <w:r>
        <w:rPr>
          <w:rFonts w:hint="eastAsia" w:ascii="Times New Roman" w:hAnsi="Times New Roman" w:cs="Times New Roman"/>
          <w:color w:val="000000" w:themeColor="text1"/>
          <w:sz w:val="28"/>
          <w:lang w:eastAsia="zh-CN"/>
          <w14:textFill>
            <w14:solidFill>
              <w14:schemeClr w14:val="tx1"/>
            </w14:solidFill>
          </w14:textFill>
        </w:rPr>
        <w:t>平阳县东海</w:t>
      </w:r>
      <w:r>
        <w:rPr>
          <w:rFonts w:hint="default" w:ascii="Times New Roman" w:hAnsi="Times New Roman" w:cs="Times New Roman"/>
          <w:color w:val="000000" w:themeColor="text1"/>
          <w:sz w:val="28"/>
          <w:lang w:eastAsia="zh-CN"/>
          <w14:textFill>
            <w14:solidFill>
              <w14:schemeClr w14:val="tx1"/>
            </w14:solidFill>
          </w14:textFill>
        </w:rPr>
        <w:t>污水处理厂处理达到《城镇污水处理厂污染物排放标准》（GB18918-2002）一级标准中的A标准后排放，雨水</w:t>
      </w:r>
      <w:r>
        <w:rPr>
          <w:rFonts w:hint="default" w:ascii="Times New Roman" w:hAnsi="Times New Roman" w:cs="Times New Roman"/>
          <w:bCs/>
          <w:kern w:val="0"/>
          <w:sz w:val="28"/>
          <w:szCs w:val="28"/>
        </w:rPr>
        <w:t>经雨水管收集排放，厂区内</w:t>
      </w:r>
      <w:r>
        <w:rPr>
          <w:rFonts w:hint="default" w:ascii="Times New Roman" w:hAnsi="Times New Roman" w:cs="Times New Roman"/>
          <w:sz w:val="28"/>
          <w:szCs w:val="28"/>
        </w:rPr>
        <w:t>雨污分流。</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.3.2 考核指标10</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废水排放执行《污水综合排放标准》（GB8978-1996）</w:t>
      </w:r>
      <w:r>
        <w:rPr>
          <w:rFonts w:hint="default" w:ascii="Times New Roman" w:hAnsi="Times New Roman" w:cs="Times New Roman"/>
          <w:color w:val="000000"/>
          <w:sz w:val="28"/>
          <w:szCs w:val="28"/>
        </w:rPr>
        <w:t>三级标准限值</w:t>
      </w:r>
      <w:r>
        <w:rPr>
          <w:rFonts w:hint="default" w:ascii="Times New Roman" w:hAnsi="Times New Roman" w:cs="Times New Roman"/>
          <w:bCs/>
          <w:kern w:val="0"/>
          <w:sz w:val="28"/>
          <w:szCs w:val="28"/>
        </w:rPr>
        <w:t>、《工业企业废水氮、磷污染物间接排放限值》（DB33/887-2013）及环评相关要求。</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检测公司检测，项目生活污水排放口监测结果表明，排放的生活污水中的pH范围、化学需氧量、五日生化需氧量、悬浮物和动植物油类等排放浓度均达到《污水综合排放标准》(GB8978-1996)三级标准，总磷、氨氨处理达到《工业企业废水氮、磷污染物间接排放限值》（DB33/887-2013）中的标准限值。</w:t>
      </w:r>
      <w:r>
        <w:rPr>
          <w:rFonts w:hint="default" w:ascii="Times New Roman" w:hAnsi="Times New Roman" w:cs="Times New Roman"/>
          <w:b/>
          <w:bCs/>
          <w:color w:val="000000"/>
          <w:sz w:val="28"/>
          <w:szCs w:val="28"/>
        </w:rPr>
        <w:t>符合考核标准</w:t>
      </w:r>
      <w:r>
        <w:rPr>
          <w:rFonts w:hint="default" w:ascii="Times New Roman" w:hAnsi="Times New Roman" w:cs="Times New Roman"/>
          <w:color w:val="000000"/>
          <w:sz w:val="28"/>
          <w:szCs w:val="28"/>
        </w:rPr>
        <w:t>（见附件4废水监测报告）</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bookmarkStart w:id="132" w:name="_Toc355586645"/>
      <w:bookmarkStart w:id="133" w:name="_Toc357344695"/>
      <w:bookmarkStart w:id="134" w:name="_Toc6998"/>
      <w:bookmarkStart w:id="135" w:name="_Toc16725"/>
      <w:bookmarkStart w:id="136" w:name="_Toc18084"/>
      <w:bookmarkStart w:id="137" w:name="_Toc18391"/>
      <w:bookmarkStart w:id="138" w:name="_Toc8939"/>
      <w:bookmarkStart w:id="139" w:name="_Toc25955"/>
      <w:bookmarkStart w:id="140" w:name="_Toc12807"/>
      <w:bookmarkStart w:id="141" w:name="_Toc1103"/>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w:t>
      </w:r>
      <w:bookmarkEnd w:id="132"/>
      <w:bookmarkEnd w:id="133"/>
      <w:r>
        <w:rPr>
          <w:rFonts w:hint="default" w:ascii="Times New Roman" w:hAnsi="Times New Roman" w:cs="Times New Roman"/>
          <w:b/>
          <w:sz w:val="28"/>
          <w:szCs w:val="28"/>
        </w:rPr>
        <w:t>4固废处理</w:t>
      </w:r>
      <w:bookmarkEnd w:id="134"/>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4.1</w:t>
      </w:r>
      <w:r>
        <w:rPr>
          <w:rFonts w:hint="eastAsia" w:cs="Times New Roman"/>
          <w:b/>
          <w:sz w:val="28"/>
          <w:szCs w:val="28"/>
          <w:lang w:val="en-US" w:eastAsia="zh-CN"/>
        </w:rPr>
        <w:t>.1</w:t>
      </w:r>
      <w:r>
        <w:rPr>
          <w:rFonts w:hint="default" w:ascii="Times New Roman" w:hAnsi="Times New Roman" w:cs="Times New Roman"/>
          <w:b/>
          <w:sz w:val="28"/>
          <w:szCs w:val="28"/>
        </w:rPr>
        <w:t>.4.1 考核指标11</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sz w:val="28"/>
          <w:szCs w:val="28"/>
        </w:rPr>
      </w:pPr>
      <w:r>
        <w:rPr>
          <w:rFonts w:hint="default" w:ascii="Times New Roman" w:hAnsi="Times New Roman" w:cs="Times New Roman"/>
          <w:b/>
          <w:kern w:val="0"/>
          <w:sz w:val="28"/>
          <w:szCs w:val="28"/>
        </w:rPr>
        <w:t>考核要求：</w:t>
      </w:r>
      <w:r>
        <w:rPr>
          <w:rFonts w:hint="default" w:ascii="Times New Roman" w:hAnsi="Times New Roman" w:cs="Times New Roman"/>
          <w:bCs/>
          <w:kern w:val="0"/>
          <w:sz w:val="28"/>
          <w:szCs w:val="28"/>
        </w:rPr>
        <w:t>各类废渣、废桶等属危险废物的，要规范贮存，设置危险废物警示性标志牌。</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sz w:val="28"/>
          <w:szCs w:val="28"/>
        </w:rPr>
        <w:t>自查和核查</w:t>
      </w:r>
      <w:r>
        <w:rPr>
          <w:rFonts w:hint="default" w:ascii="Times New Roman" w:hAnsi="Times New Roman" w:cs="Times New Roman"/>
          <w:b/>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经企业自查，企业生产过程中产生的危险废物有</w:t>
      </w:r>
      <w:r>
        <w:rPr>
          <w:rFonts w:hint="eastAsia" w:cs="Times New Roman"/>
          <w:color w:val="000000" w:themeColor="text1"/>
          <w:sz w:val="28"/>
          <w:szCs w:val="28"/>
          <w:lang w:eastAsia="zh-CN"/>
          <w14:textFill>
            <w14:solidFill>
              <w14:schemeClr w14:val="tx1"/>
            </w14:solidFill>
          </w14:textFill>
        </w:rPr>
        <w:t>电镀废渣、废电镀液</w:t>
      </w:r>
      <w:r>
        <w:rPr>
          <w:rFonts w:hint="default" w:ascii="Times New Roman" w:hAnsi="Times New Roman" w:cs="Times New Roman"/>
          <w:color w:val="000000" w:themeColor="text1"/>
          <w:sz w:val="28"/>
          <w:szCs w:val="28"/>
          <w14:textFill>
            <w14:solidFill>
              <w14:schemeClr w14:val="tx1"/>
            </w14:solidFill>
          </w14:textFill>
        </w:rPr>
        <w:t>、废活性炭</w:t>
      </w:r>
      <w:r>
        <w:rPr>
          <w:rFonts w:hint="eastAsia" w:cs="Times New Roman"/>
          <w:color w:val="000000" w:themeColor="text1"/>
          <w:sz w:val="28"/>
          <w:szCs w:val="28"/>
          <w:lang w:eastAsia="zh-CN"/>
          <w14:textFill>
            <w14:solidFill>
              <w14:schemeClr w14:val="tx1"/>
            </w14:solidFill>
          </w14:textFill>
        </w:rPr>
        <w:t>、废包装容器</w:t>
      </w:r>
      <w:r>
        <w:rPr>
          <w:rFonts w:hint="default" w:ascii="Times New Roman" w:hAnsi="Times New Roman" w:cs="Times New Roman"/>
          <w:color w:val="000000" w:themeColor="text1"/>
          <w:sz w:val="28"/>
          <w:szCs w:val="28"/>
          <w14:textFill>
            <w14:solidFill>
              <w14:schemeClr w14:val="tx1"/>
            </w14:solidFill>
          </w14:textFill>
        </w:rPr>
        <w:t>，暂存于专门的危废暂存间</w:t>
      </w:r>
      <w:r>
        <w:rPr>
          <w:rFonts w:hint="default" w:ascii="Times New Roman" w:hAnsi="Times New Roman" w:cs="Times New Roman"/>
          <w:color w:val="000000" w:themeColor="text1"/>
          <w:sz w:val="28"/>
          <w:szCs w:val="28"/>
          <w:lang w:eastAsia="zh-CN"/>
          <w14:textFill>
            <w14:solidFill>
              <w14:schemeClr w14:val="tx1"/>
            </w14:solidFill>
          </w14:textFill>
        </w:rPr>
        <w:t>并设有危废标识</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
          <w:bCs/>
          <w:color w:val="000000" w:themeColor="text1"/>
          <w:sz w:val="28"/>
          <w:szCs w:val="28"/>
          <w14:textFill>
            <w14:solidFill>
              <w14:schemeClr w14:val="tx1"/>
            </w14:solidFill>
          </w14:textFill>
        </w:rPr>
        <w:t>符合考核要求</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.4.2 考核指标12</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kern w:val="0"/>
          <w:sz w:val="28"/>
          <w:szCs w:val="28"/>
          <w14:textFill>
            <w14:solidFill>
              <w14:schemeClr w14:val="tx1"/>
            </w14:solidFill>
          </w14:textFill>
        </w:rPr>
        <w:t>考核要求：</w:t>
      </w:r>
      <w:r>
        <w:rPr>
          <w:rFonts w:hint="default" w:ascii="Times New Roman" w:hAnsi="Times New Roman" w:cs="Times New Roman"/>
          <w:bCs/>
          <w:color w:val="000000" w:themeColor="text1"/>
          <w:kern w:val="0"/>
          <w:sz w:val="28"/>
          <w:szCs w:val="28"/>
          <w14:textFill>
            <w14:solidFill>
              <w14:schemeClr w14:val="tx1"/>
            </w14:solidFill>
          </w14:textFill>
        </w:rPr>
        <w:t>危险废物应委托有资质的单位利用处置，执行危险废物转移计划审批和转移联单制度。</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自查和核查：</w:t>
      </w:r>
      <w:r>
        <w:rPr>
          <w:rFonts w:hint="default" w:ascii="Times New Roman" w:hAnsi="Times New Roman" w:cs="Times New Roman"/>
          <w:color w:val="000000" w:themeColor="text1"/>
          <w:sz w:val="28"/>
          <w:szCs w:val="28"/>
          <w14:textFill>
            <w14:solidFill>
              <w14:schemeClr w14:val="tx1"/>
            </w14:solidFill>
          </w14:textFill>
        </w:rPr>
        <w:t>经企业自查，</w:t>
      </w:r>
      <w:r>
        <w:rPr>
          <w:rFonts w:hint="eastAsia" w:cs="Times New Roman"/>
          <w:color w:val="000000" w:themeColor="text1"/>
          <w:sz w:val="28"/>
          <w:szCs w:val="28"/>
          <w:lang w:eastAsia="zh-CN"/>
          <w14:textFill>
            <w14:solidFill>
              <w14:schemeClr w14:val="tx1"/>
            </w14:solidFill>
          </w14:textFill>
        </w:rPr>
        <w:t>改建项目</w:t>
      </w:r>
      <w:r>
        <w:rPr>
          <w:rFonts w:hint="default" w:ascii="Times New Roman" w:hAnsi="Times New Roman" w:cs="Times New Roman"/>
          <w:color w:val="000000" w:themeColor="text1"/>
          <w:sz w:val="28"/>
          <w:szCs w:val="28"/>
          <w14:textFill>
            <w14:solidFill>
              <w14:schemeClr w14:val="tx1"/>
            </w14:solidFill>
          </w14:textFill>
        </w:rPr>
        <w:t>所产生的危废有</w:t>
      </w:r>
      <w:r>
        <w:rPr>
          <w:rFonts w:hint="eastAsia" w:cs="Times New Roman"/>
          <w:color w:val="000000" w:themeColor="text1"/>
          <w:sz w:val="28"/>
          <w:szCs w:val="28"/>
          <w:lang w:eastAsia="zh-CN"/>
          <w14:textFill>
            <w14:solidFill>
              <w14:schemeClr w14:val="tx1"/>
            </w14:solidFill>
          </w14:textFill>
        </w:rPr>
        <w:t>电镀废渣、废电镀液</w:t>
      </w:r>
      <w:r>
        <w:rPr>
          <w:rFonts w:hint="default" w:ascii="Times New Roman" w:hAnsi="Times New Roman" w:cs="Times New Roman"/>
          <w:color w:val="000000" w:themeColor="text1"/>
          <w:sz w:val="28"/>
          <w:szCs w:val="28"/>
          <w14:textFill>
            <w14:solidFill>
              <w14:schemeClr w14:val="tx1"/>
            </w14:solidFill>
          </w14:textFill>
        </w:rPr>
        <w:t>、废活性炭</w:t>
      </w:r>
      <w:r>
        <w:rPr>
          <w:rFonts w:hint="eastAsia" w:cs="Times New Roman"/>
          <w:color w:val="000000" w:themeColor="text1"/>
          <w:sz w:val="28"/>
          <w:szCs w:val="28"/>
          <w:lang w:eastAsia="zh-CN"/>
          <w14:textFill>
            <w14:solidFill>
              <w14:schemeClr w14:val="tx1"/>
            </w14:solidFill>
          </w14:textFill>
        </w:rPr>
        <w:t>、废包装容器</w:t>
      </w:r>
      <w:r>
        <w:rPr>
          <w:rFonts w:hint="default" w:ascii="Times New Roman" w:hAnsi="Times New Roman" w:cs="Times New Roman"/>
          <w:color w:val="000000" w:themeColor="text1"/>
          <w:sz w:val="28"/>
          <w:szCs w:val="28"/>
          <w14:textFill>
            <w14:solidFill>
              <w14:schemeClr w14:val="tx1"/>
            </w14:solidFill>
          </w14:textFill>
        </w:rPr>
        <w:t>，其中</w:t>
      </w:r>
      <w:r>
        <w:rPr>
          <w:rFonts w:hint="eastAsia" w:cs="Times New Roman"/>
          <w:color w:val="000000" w:themeColor="text1"/>
          <w:sz w:val="28"/>
          <w:szCs w:val="28"/>
          <w:lang w:eastAsia="zh-CN"/>
          <w14:textFill>
            <w14:solidFill>
              <w14:schemeClr w14:val="tx1"/>
            </w14:solidFill>
          </w14:textFill>
        </w:rPr>
        <w:t>电镀废渣、废电镀液</w:t>
      </w:r>
      <w:r>
        <w:rPr>
          <w:rFonts w:hint="default" w:ascii="Times New Roman" w:hAnsi="Times New Roman" w:cs="Times New Roman"/>
          <w:color w:val="000000" w:themeColor="text1"/>
          <w:sz w:val="28"/>
          <w:szCs w:val="28"/>
          <w14:textFill>
            <w14:solidFill>
              <w14:schemeClr w14:val="tx1"/>
            </w14:solidFill>
          </w14:textFill>
        </w:rPr>
        <w:t>收集后委托</w:t>
      </w:r>
      <w:r>
        <w:rPr>
          <w:rFonts w:hint="eastAsia" w:cs="Times New Roman"/>
          <w:color w:val="000000" w:themeColor="text1"/>
          <w:sz w:val="28"/>
          <w:szCs w:val="28"/>
          <w:lang w:eastAsia="zh-CN"/>
          <w14:textFill>
            <w14:solidFill>
              <w14:schemeClr w14:val="tx1"/>
            </w14:solidFill>
          </w14:textFill>
        </w:rPr>
        <w:t>平阳县环源污泥处置有限公司</w:t>
      </w:r>
      <w:r>
        <w:rPr>
          <w:rFonts w:hint="default" w:ascii="Times New Roman" w:hAnsi="Times New Roman" w:cs="Times New Roman"/>
          <w:color w:val="000000" w:themeColor="text1"/>
          <w:sz w:val="28"/>
          <w:szCs w:val="28"/>
          <w14:textFill>
            <w14:solidFill>
              <w14:schemeClr w14:val="tx1"/>
            </w14:solidFill>
          </w14:textFill>
        </w:rPr>
        <w:t>清运处置；</w:t>
      </w:r>
      <w:r>
        <w:rPr>
          <w:rFonts w:hint="eastAsia" w:ascii="Times New Roman" w:hAnsi="Times New Roman" w:cs="Times New Roman"/>
          <w:sz w:val="28"/>
          <w:szCs w:val="28"/>
          <w:lang w:val="en-US" w:eastAsia="zh-CN"/>
        </w:rPr>
        <w:t>废包装容器</w:t>
      </w:r>
      <w:r>
        <w:rPr>
          <w:rFonts w:hint="eastAsia" w:cs="Times New Roman"/>
          <w:sz w:val="28"/>
          <w:szCs w:val="28"/>
          <w:lang w:val="en-US" w:eastAsia="zh-CN"/>
        </w:rPr>
        <w:t>委托兰溪自立环保科技有限公司清运处置；</w:t>
      </w:r>
      <w:r>
        <w:rPr>
          <w:rFonts w:hint="default" w:ascii="Times New Roman" w:hAnsi="Times New Roman" w:cs="Times New Roman"/>
          <w:color w:val="000000" w:themeColor="text1"/>
          <w:sz w:val="28"/>
          <w:szCs w:val="28"/>
          <w14:textFill>
            <w14:solidFill>
              <w14:schemeClr w14:val="tx1"/>
            </w14:solidFill>
          </w14:textFill>
        </w:rPr>
        <w:t>废活性炭暂存于企业危废暂存间，暂未委托有资质单位处理处置，故没有危废转移联单。</w:t>
      </w:r>
      <w:r>
        <w:rPr>
          <w:rFonts w:hint="default" w:ascii="Times New Roman" w:hAnsi="Times New Roman" w:cs="Times New Roman"/>
          <w:b/>
          <w:bCs/>
          <w:color w:val="000000" w:themeColor="text1"/>
          <w:sz w:val="28"/>
          <w:szCs w:val="28"/>
          <w14:textFill>
            <w14:solidFill>
              <w14:schemeClr w14:val="tx1"/>
            </w14:solidFill>
          </w14:textFill>
        </w:rPr>
        <w:t>不符合考核要求</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bookmarkStart w:id="142" w:name="_Toc344"/>
      <w:bookmarkStart w:id="143" w:name="_Toc8514"/>
      <w:bookmarkStart w:id="144" w:name="_Toc4018"/>
      <w:bookmarkStart w:id="145" w:name="_Toc3015"/>
      <w:bookmarkStart w:id="146" w:name="_Toc28474"/>
      <w:bookmarkStart w:id="147" w:name="_Toc27633"/>
      <w:bookmarkStart w:id="148" w:name="_Toc20492"/>
      <w:bookmarkStart w:id="149" w:name="_Toc1633"/>
      <w:bookmarkStart w:id="150" w:name="_Toc29245"/>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.5环境监测</w:t>
      </w:r>
      <w:bookmarkEnd w:id="142"/>
      <w:bookmarkEnd w:id="143"/>
      <w:bookmarkEnd w:id="144"/>
      <w:bookmarkEnd w:id="145"/>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.5.1 考核指标13</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kern w:val="0"/>
          <w:sz w:val="28"/>
          <w:szCs w:val="28"/>
          <w14:textFill>
            <w14:solidFill>
              <w14:schemeClr w14:val="tx1"/>
            </w14:solidFill>
          </w14:textFill>
        </w:rPr>
        <w:t>考核要求：</w:t>
      </w:r>
      <w:r>
        <w:rPr>
          <w:rFonts w:hint="default" w:ascii="Times New Roman" w:hAnsi="Times New Roman" w:cs="Times New Roman"/>
          <w:bCs/>
          <w:color w:val="000000" w:themeColor="text1"/>
          <w:kern w:val="0"/>
          <w:sz w:val="28"/>
          <w:szCs w:val="28"/>
          <w14:textFill>
            <w14:solidFill>
              <w14:schemeClr w14:val="tx1"/>
            </w14:solidFill>
          </w14:textFill>
        </w:rPr>
        <w:t>定期开展废气污染监测，废气处理设施须监测进、出口废气浓度。</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自查和核查：</w:t>
      </w:r>
      <w:r>
        <w:rPr>
          <w:rFonts w:hint="default" w:ascii="Times New Roman" w:hAnsi="Times New Roman" w:cs="Times New Roman"/>
          <w:color w:val="000000" w:themeColor="text1"/>
          <w:sz w:val="28"/>
          <w:szCs w:val="28"/>
          <w14:textFill>
            <w14:solidFill>
              <w14:schemeClr w14:val="tx1"/>
            </w14:solidFill>
          </w14:textFill>
        </w:rPr>
        <w:t>经企业自查，企业于2020年</w:t>
      </w:r>
      <w:r>
        <w:rPr>
          <w:rFonts w:hint="eastAsia" w:cs="Times New Roman"/>
          <w:color w:val="000000" w:themeColor="text1"/>
          <w:sz w:val="28"/>
          <w:szCs w:val="28"/>
          <w:lang w:val="en-US" w:eastAsia="zh-CN"/>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月委托温州新鸿检测技术有限公司对企业废气进、出口进行监测，检测结果均符合相关标准要求。企业正常工况下废气监测计划为1年/次，下次监测时间拟定于2021年</w:t>
      </w:r>
      <w:r>
        <w:rPr>
          <w:rFonts w:hint="eastAsia" w:cs="Times New Roman"/>
          <w:color w:val="000000" w:themeColor="text1"/>
          <w:sz w:val="28"/>
          <w:szCs w:val="28"/>
          <w:lang w:val="en-US" w:eastAsia="zh-CN"/>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月前，</w:t>
      </w:r>
      <w:r>
        <w:rPr>
          <w:rFonts w:hint="default" w:ascii="Times New Roman" w:hAnsi="Times New Roman" w:cs="Times New Roman"/>
          <w:b/>
          <w:bCs/>
          <w:color w:val="000000" w:themeColor="text1"/>
          <w:sz w:val="28"/>
          <w:szCs w:val="28"/>
          <w14:textFill>
            <w14:solidFill>
              <w14:schemeClr w14:val="tx1"/>
            </w14:solidFill>
          </w14:textFill>
        </w:rPr>
        <w:t>符合考核要求</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bookmarkStart w:id="151" w:name="_Toc29108"/>
      <w:bookmarkStart w:id="152" w:name="_Toc8734"/>
      <w:bookmarkStart w:id="153" w:name="_Toc25568"/>
      <w:bookmarkStart w:id="154" w:name="_Toc6177"/>
      <w:bookmarkStart w:id="155" w:name="_Toc20623"/>
      <w:bookmarkStart w:id="156" w:name="_Toc17858"/>
      <w:bookmarkStart w:id="157" w:name="_Toc10942"/>
      <w:bookmarkStart w:id="158" w:name="_Toc6396"/>
      <w:bookmarkStart w:id="159" w:name="_Toc23627"/>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.6监督管理</w:t>
      </w:r>
      <w:bookmarkEnd w:id="151"/>
      <w:bookmarkEnd w:id="152"/>
      <w:bookmarkEnd w:id="153"/>
      <w:bookmarkEnd w:id="154"/>
      <w:bookmarkEnd w:id="155"/>
      <w:bookmarkEnd w:id="156"/>
      <w:bookmarkEnd w:id="157"/>
      <w:bookmarkEnd w:id="158"/>
      <w:bookmarkEnd w:id="159"/>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.6.1 考核指标14</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kern w:val="0"/>
          <w:sz w:val="28"/>
          <w:szCs w:val="28"/>
          <w14:textFill>
            <w14:solidFill>
              <w14:schemeClr w14:val="tx1"/>
            </w14:solidFill>
          </w14:textFill>
        </w:rPr>
        <w:t>考核要求：</w:t>
      </w:r>
      <w:r>
        <w:rPr>
          <w:rFonts w:hint="default" w:ascii="Times New Roman" w:hAnsi="Times New Roman" w:cs="Times New Roman"/>
          <w:bCs/>
          <w:color w:val="000000" w:themeColor="text1"/>
          <w:kern w:val="0"/>
          <w:sz w:val="28"/>
          <w:szCs w:val="28"/>
          <w14:textFill>
            <w14:solidFill>
              <w14:schemeClr w14:val="tx1"/>
            </w14:solidFill>
          </w14:textFill>
        </w:rPr>
        <w:t>生产空间功能区、生产设备布局合理，生产现场环境整洁卫生、管理有序。</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自查和核查：</w:t>
      </w:r>
      <w:r>
        <w:rPr>
          <w:rFonts w:hint="default" w:ascii="Times New Roman" w:hAnsi="Times New Roman" w:cs="Times New Roman"/>
          <w:color w:val="000000" w:themeColor="text1"/>
          <w:sz w:val="28"/>
          <w:szCs w:val="28"/>
          <w14:textFill>
            <w14:solidFill>
              <w14:schemeClr w14:val="tx1"/>
            </w14:solidFill>
          </w14:textFill>
        </w:rPr>
        <w:t>经企业自查，公司生产车间经专业设计企业进行合理设计，设备布局合理，车间内光线整洁透明，通风环境良好，配置足够的通风设施，各生产空间充足，装贴了大量的环境卫生和职业健康安全标识，定期组织对车间进行环境卫生和安全检查。</w:t>
      </w:r>
      <w:r>
        <w:rPr>
          <w:rFonts w:hint="default" w:ascii="Times New Roman" w:hAnsi="Times New Roman" w:cs="Times New Roman"/>
          <w:b/>
          <w:bCs/>
          <w:color w:val="000000" w:themeColor="text1"/>
          <w:sz w:val="28"/>
          <w:szCs w:val="28"/>
          <w14:textFill>
            <w14:solidFill>
              <w14:schemeClr w14:val="tx1"/>
            </w14:solidFill>
          </w14:textFill>
        </w:rPr>
        <w:t>符合考核要求</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.6.2 考核指标15</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kern w:val="0"/>
          <w:sz w:val="28"/>
          <w:szCs w:val="28"/>
          <w14:textFill>
            <w14:solidFill>
              <w14:schemeClr w14:val="tx1"/>
            </w14:solidFill>
          </w14:textFill>
        </w:rPr>
        <w:t>考核要求：</w:t>
      </w:r>
      <w:r>
        <w:rPr>
          <w:rFonts w:hint="default" w:ascii="Times New Roman" w:hAnsi="Times New Roman" w:cs="Times New Roman"/>
          <w:bCs/>
          <w:color w:val="000000" w:themeColor="text1"/>
          <w:kern w:val="0"/>
          <w:sz w:val="28"/>
          <w:szCs w:val="28"/>
          <w14:textFill>
            <w14:solidFill>
              <w14:schemeClr w14:val="tx1"/>
            </w14:solidFill>
          </w14:textFill>
        </w:rPr>
        <w:t>建有废气处理设施运行工况监控系统和环保管理信息平台。</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自查和核查：</w:t>
      </w:r>
      <w:r>
        <w:rPr>
          <w:rFonts w:hint="default" w:ascii="Times New Roman" w:hAnsi="Times New Roman" w:cs="Times New Roman"/>
          <w:color w:val="000000" w:themeColor="text1"/>
          <w:sz w:val="28"/>
          <w:szCs w:val="28"/>
          <w14:textFill>
            <w14:solidFill>
              <w14:schemeClr w14:val="tx1"/>
            </w14:solidFill>
          </w14:textFill>
        </w:rPr>
        <w:t>经企业自查，企业尚未建立建有废气处理设施运行工况监控系统和环保管理信息平台。</w:t>
      </w:r>
      <w:r>
        <w:rPr>
          <w:rFonts w:hint="default" w:ascii="Times New Roman" w:hAnsi="Times New Roman" w:cs="Times New Roman"/>
          <w:b/>
          <w:bCs/>
          <w:color w:val="000000" w:themeColor="text1"/>
          <w:sz w:val="28"/>
          <w:szCs w:val="28"/>
          <w14:textFill>
            <w14:solidFill>
              <w14:schemeClr w14:val="tx1"/>
            </w14:solidFill>
          </w14:textFill>
        </w:rPr>
        <w:t>不符合考核要求</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4.1</w:t>
      </w:r>
      <w:r>
        <w:rPr>
          <w:rFonts w:hint="eastAsia" w:cs="Times New Roman"/>
          <w:b/>
          <w:color w:val="000000" w:themeColor="text1"/>
          <w:sz w:val="28"/>
          <w:szCs w:val="28"/>
          <w:lang w:val="en-US" w:eastAsia="zh-CN"/>
          <w14:textFill>
            <w14:solidFill>
              <w14:schemeClr w14:val="tx1"/>
            </w14:solidFill>
          </w14:textFill>
        </w:rPr>
        <w:t>.1</w:t>
      </w:r>
      <w:r>
        <w:rPr>
          <w:rFonts w:hint="default" w:ascii="Times New Roman" w:hAnsi="Times New Roman" w:cs="Times New Roman"/>
          <w:b/>
          <w:color w:val="000000" w:themeColor="text1"/>
          <w:sz w:val="28"/>
          <w:szCs w:val="28"/>
          <w14:textFill>
            <w14:solidFill>
              <w14:schemeClr w14:val="tx1"/>
            </w14:solidFill>
          </w14:textFill>
        </w:rPr>
        <w:t>.6.3 考核指标16</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color w:val="000000" w:themeColor="text1"/>
          <w:kern w:val="0"/>
          <w:sz w:val="28"/>
          <w:szCs w:val="28"/>
          <w14:textFill>
            <w14:solidFill>
              <w14:schemeClr w14:val="tx1"/>
            </w14:solidFill>
          </w14:textFill>
        </w:rPr>
        <w:t>考核要求：</w:t>
      </w:r>
      <w:r>
        <w:rPr>
          <w:rFonts w:hint="default" w:ascii="Times New Roman" w:hAnsi="Times New Roman" w:cs="Times New Roman"/>
          <w:bCs/>
          <w:color w:val="000000" w:themeColor="text1"/>
          <w:kern w:val="0"/>
          <w:sz w:val="28"/>
          <w:szCs w:val="28"/>
          <w14:textFill>
            <w14:solidFill>
              <w14:schemeClr w14:val="tx1"/>
            </w14:solidFill>
          </w14:textFill>
        </w:rPr>
        <w:t>企业建立完善相关台帐，记录污染处理设施运行、维修情况，如实记录含有机溶剂原辅料的消耗台账，包括使用量、废弃量、去向以及挥发性有机物含量等，台账保存期限不少于三年。</w:t>
      </w:r>
    </w:p>
    <w:p>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Times New Roman" w:hAnsi="Times New Roman" w:cs="Times New Roman"/>
          <w:sz w:val="28"/>
          <w:szCs w:val="28"/>
        </w:rPr>
      </w:pPr>
      <w:r>
        <w:rPr>
          <w:rFonts w:hint="default" w:ascii="Times New Roman" w:hAnsi="Times New Roman" w:cs="Times New Roman"/>
          <w:b/>
          <w:color w:val="000000" w:themeColor="text1"/>
          <w:sz w:val="28"/>
          <w:szCs w:val="28"/>
          <w14:textFill>
            <w14:solidFill>
              <w14:schemeClr w14:val="tx1"/>
            </w14:solidFill>
          </w14:textFill>
        </w:rPr>
        <w:t>自查和核查：</w:t>
      </w:r>
      <w:r>
        <w:rPr>
          <w:rFonts w:hint="default" w:ascii="Times New Roman" w:hAnsi="Times New Roman" w:cs="Times New Roman"/>
          <w:color w:val="000000" w:themeColor="text1"/>
          <w:sz w:val="28"/>
          <w:szCs w:val="28"/>
          <w14:textFill>
            <w14:solidFill>
              <w14:schemeClr w14:val="tx1"/>
            </w14:solidFill>
          </w14:textFill>
        </w:rPr>
        <w:t>经企业自查，企业未建立原辅料出入库台账、设备运行维护台账及危险废物管理台账。</w:t>
      </w:r>
      <w:r>
        <w:rPr>
          <w:rFonts w:hint="default" w:ascii="Times New Roman" w:hAnsi="Times New Roman" w:cs="Times New Roman"/>
          <w:b/>
          <w:bCs/>
          <w:color w:val="000000" w:themeColor="text1"/>
          <w:sz w:val="28"/>
          <w:szCs w:val="28"/>
          <w14:textFill>
            <w14:solidFill>
              <w14:schemeClr w14:val="tx1"/>
            </w14:solidFill>
          </w14:textFill>
        </w:rPr>
        <w:t>不符合考核要</w:t>
      </w:r>
      <w:r>
        <w:rPr>
          <w:rFonts w:hint="default" w:ascii="Times New Roman" w:hAnsi="Times New Roman" w:cs="Times New Roman"/>
          <w:b/>
          <w:bCs/>
          <w:sz w:val="28"/>
          <w:szCs w:val="28"/>
        </w:rPr>
        <w:t>求</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3"/>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eastAsia" w:cs="Times New Roman"/>
          <w:b/>
          <w:sz w:val="28"/>
          <w:szCs w:val="28"/>
          <w:lang w:val="en-US" w:eastAsia="zh-CN"/>
        </w:rPr>
        <w:t>1.</w:t>
      </w:r>
      <w:r>
        <w:rPr>
          <w:rFonts w:hint="default" w:ascii="Times New Roman" w:hAnsi="Times New Roman" w:cs="Times New Roman"/>
          <w:b/>
          <w:sz w:val="28"/>
          <w:szCs w:val="28"/>
        </w:rPr>
        <w:t>2整治考核标准对照汇总表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根据《</w:t>
      </w:r>
      <w:r>
        <w:rPr>
          <w:rFonts w:hint="default" w:ascii="Times New Roman" w:hAnsi="Times New Roman" w:cs="Times New Roman"/>
          <w:color w:val="000000"/>
          <w:sz w:val="28"/>
        </w:rPr>
        <w:t>温州市工业涂装企业污染整治提升技术指南</w:t>
      </w:r>
      <w:r>
        <w:rPr>
          <w:rFonts w:hint="default" w:ascii="Times New Roman" w:hAnsi="Times New Roman" w:cs="Times New Roman"/>
          <w:sz w:val="28"/>
          <w:szCs w:val="28"/>
        </w:rPr>
        <w:t>》，企业自查结果与污染防治措施要求对照汇总如下：</w:t>
      </w:r>
    </w:p>
    <w:tbl>
      <w:tblPr>
        <w:tblStyle w:val="3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30"/>
        <w:gridCol w:w="1427"/>
        <w:gridCol w:w="731"/>
        <w:gridCol w:w="246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类别</w:t>
            </w:r>
          </w:p>
        </w:tc>
        <w:tc>
          <w:tcPr>
            <w:tcW w:w="830"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内容</w:t>
            </w:r>
          </w:p>
        </w:tc>
        <w:tc>
          <w:tcPr>
            <w:tcW w:w="142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序号</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是否符合</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不符合情况</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整改措施和建议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政策</w:t>
            </w:r>
          </w:p>
          <w:p>
            <w:pPr>
              <w:adjustRightInd w:val="0"/>
              <w:snapToGrid w:val="0"/>
              <w:rPr>
                <w:rFonts w:hint="default" w:ascii="Times New Roman" w:hAnsi="Times New Roman" w:cs="Times New Roman"/>
                <w:sz w:val="24"/>
              </w:rPr>
            </w:pPr>
            <w:r>
              <w:rPr>
                <w:rFonts w:hint="default" w:ascii="Times New Roman" w:hAnsi="Times New Roman" w:cs="Times New Roman"/>
                <w:sz w:val="24"/>
              </w:rPr>
              <w:t>法规</w:t>
            </w:r>
          </w:p>
        </w:tc>
        <w:tc>
          <w:tcPr>
            <w:tcW w:w="830"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生产合法性</w:t>
            </w:r>
          </w:p>
        </w:tc>
        <w:tc>
          <w:tcPr>
            <w:tcW w:w="1427" w:type="dxa"/>
            <w:vAlign w:val="center"/>
          </w:tcPr>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 xml:space="preserve">1.1.1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 xml:space="preserve">考核指标1 </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污染防治</w:t>
            </w:r>
          </w:p>
        </w:tc>
        <w:tc>
          <w:tcPr>
            <w:tcW w:w="830"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废气收集与处理</w:t>
            </w: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 xml:space="preserve">1.2.1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考核指标2</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 xml:space="preserve">1.2.2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考核指标3</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 xml:space="preserve">1.2.3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考核指标4</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tcBorders>
              <w:bottom w:val="single" w:color="auto" w:sz="4" w:space="0"/>
            </w:tcBorders>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 xml:space="preserve">1.2.4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考核指标5</w:t>
            </w:r>
          </w:p>
        </w:tc>
        <w:tc>
          <w:tcPr>
            <w:tcW w:w="731" w:type="dxa"/>
            <w:tcBorders>
              <w:bottom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tcBorders>
              <w:bottom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tcBorders>
              <w:bottom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tcBorders>
              <w:top w:val="single" w:color="auto" w:sz="4" w:space="0"/>
            </w:tcBorders>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 xml:space="preserve">1.2.5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考核指标6</w:t>
            </w:r>
          </w:p>
        </w:tc>
        <w:tc>
          <w:tcPr>
            <w:tcW w:w="731" w:type="dxa"/>
            <w:tcBorders>
              <w:top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tcBorders>
              <w:top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tcBorders>
              <w:top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4.</w:t>
            </w:r>
            <w:r>
              <w:rPr>
                <w:rFonts w:hint="eastAsia" w:cs="Times New Roman"/>
                <w:sz w:val="24"/>
                <w:lang w:val="en-US" w:eastAsia="zh-CN"/>
              </w:rPr>
              <w:t>1.</w:t>
            </w:r>
            <w:r>
              <w:rPr>
                <w:rFonts w:hint="default" w:ascii="Times New Roman" w:hAnsi="Times New Roman" w:cs="Times New Roman"/>
                <w:sz w:val="24"/>
              </w:rPr>
              <w:t xml:space="preserve">1.2.6 </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考核指标7</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4.</w:t>
            </w:r>
            <w:r>
              <w:rPr>
                <w:rFonts w:hint="eastAsia" w:cs="Times New Roman"/>
                <w:sz w:val="24"/>
                <w:lang w:val="en-US" w:eastAsia="zh-CN"/>
              </w:rPr>
              <w:t>1.</w:t>
            </w:r>
            <w:r>
              <w:rPr>
                <w:rFonts w:hint="default" w:ascii="Times New Roman" w:hAnsi="Times New Roman" w:cs="Times New Roman"/>
                <w:sz w:val="24"/>
              </w:rPr>
              <w:t xml:space="preserve">1.2.7 </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考核指标8</w:t>
            </w:r>
          </w:p>
        </w:tc>
        <w:tc>
          <w:tcPr>
            <w:tcW w:w="731"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否</w:t>
            </w:r>
          </w:p>
        </w:tc>
        <w:tc>
          <w:tcPr>
            <w:tcW w:w="2464"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处理效率小于75%</w:t>
            </w:r>
          </w:p>
        </w:tc>
        <w:tc>
          <w:tcPr>
            <w:tcW w:w="2761"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优化废气处理设施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废水处理</w:t>
            </w:r>
          </w:p>
        </w:tc>
        <w:tc>
          <w:tcPr>
            <w:tcW w:w="1427" w:type="dxa"/>
            <w:vAlign w:val="center"/>
          </w:tcPr>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1.3.1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考核指标9</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1.3.2</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考核指标10</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固废处理</w:t>
            </w: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eastAsia" w:cs="Times New Roman"/>
                <w:bCs/>
                <w:kern w:val="44"/>
                <w:sz w:val="24"/>
                <w:lang w:val="en-US" w:eastAsia="zh-CN"/>
              </w:rPr>
              <w:t>1.</w:t>
            </w:r>
            <w:r>
              <w:rPr>
                <w:rFonts w:hint="default" w:ascii="Times New Roman" w:hAnsi="Times New Roman" w:cs="Times New Roman"/>
                <w:bCs/>
                <w:kern w:val="44"/>
                <w:sz w:val="24"/>
              </w:rPr>
              <w:t>1.4.1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考核指标11</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1.4.2</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考核指标12</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否</w:t>
            </w:r>
          </w:p>
        </w:tc>
        <w:tc>
          <w:tcPr>
            <w:tcW w:w="2464"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企业生产所产生的危废暂存厂内，</w:t>
            </w:r>
            <w:r>
              <w:rPr>
                <w:rFonts w:hint="eastAsia" w:cs="Times New Roman"/>
                <w:color w:val="000000" w:themeColor="text1"/>
                <w:sz w:val="24"/>
                <w:lang w:eastAsia="zh-CN"/>
                <w14:textFill>
                  <w14:solidFill>
                    <w14:schemeClr w14:val="tx1"/>
                  </w14:solidFill>
                </w14:textFill>
              </w:rPr>
              <w:t>废活性炭</w:t>
            </w:r>
            <w:r>
              <w:rPr>
                <w:rFonts w:hint="default" w:ascii="Times New Roman" w:hAnsi="Times New Roman" w:cs="Times New Roman"/>
                <w:color w:val="000000" w:themeColor="text1"/>
                <w:sz w:val="24"/>
                <w14:textFill>
                  <w14:solidFill>
                    <w14:schemeClr w14:val="tx1"/>
                  </w14:solidFill>
                </w14:textFill>
              </w:rPr>
              <w:t>未委托有资质单位处理处置，故没有危废转移联单</w:t>
            </w:r>
          </w:p>
        </w:tc>
        <w:tc>
          <w:tcPr>
            <w:tcW w:w="2761"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建议企业尽快签订相关危险废物处置协议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环境管理</w:t>
            </w:r>
          </w:p>
        </w:tc>
        <w:tc>
          <w:tcPr>
            <w:tcW w:w="830"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环境监测</w:t>
            </w:r>
          </w:p>
        </w:tc>
        <w:tc>
          <w:tcPr>
            <w:tcW w:w="1427" w:type="dxa"/>
            <w:vAlign w:val="center"/>
          </w:tcPr>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1.5.1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考核指标13</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restart"/>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监督管理</w:t>
            </w:r>
          </w:p>
        </w:tc>
        <w:tc>
          <w:tcPr>
            <w:tcW w:w="1427" w:type="dxa"/>
            <w:vAlign w:val="center"/>
          </w:tcPr>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1.6.1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考核指标14</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1.6.</w:t>
            </w:r>
            <w:r>
              <w:rPr>
                <w:rFonts w:hint="default" w:ascii="Times New Roman" w:hAnsi="Times New Roman" w:cs="Times New Roman"/>
                <w:bCs/>
                <w:kern w:val="44"/>
                <w:sz w:val="24"/>
              </w:rPr>
              <w:t>2</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考核指标1</w:t>
            </w:r>
            <w:r>
              <w:rPr>
                <w:rFonts w:hint="default" w:ascii="Times New Roman" w:hAnsi="Times New Roman" w:cs="Times New Roman"/>
                <w:bCs/>
                <w:kern w:val="44"/>
                <w:sz w:val="24"/>
              </w:rPr>
              <w:t>5</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否</w:t>
            </w:r>
          </w:p>
        </w:tc>
        <w:tc>
          <w:tcPr>
            <w:tcW w:w="2464"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企业尚未建立建有废气处理设施运行工况监控系统和环保管理信息平台</w:t>
            </w:r>
          </w:p>
        </w:tc>
        <w:tc>
          <w:tcPr>
            <w:tcW w:w="276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建立企业尽快建立建有废气处理设施运行工况监控系统和环保管理信息平台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continue"/>
            <w:vAlign w:val="center"/>
          </w:tcPr>
          <w:p>
            <w:pPr>
              <w:adjustRightInd w:val="0"/>
              <w:snapToGrid w:val="0"/>
              <w:jc w:val="center"/>
              <w:rPr>
                <w:rFonts w:hint="default" w:ascii="Times New Roman" w:hAnsi="Times New Roman" w:cs="Times New Roman"/>
                <w:sz w:val="24"/>
              </w:rPr>
            </w:pPr>
          </w:p>
        </w:tc>
        <w:tc>
          <w:tcPr>
            <w:tcW w:w="830" w:type="dxa"/>
            <w:vMerge w:val="continue"/>
            <w:vAlign w:val="center"/>
          </w:tcPr>
          <w:p>
            <w:pPr>
              <w:adjustRightInd w:val="0"/>
              <w:snapToGrid w:val="0"/>
              <w:jc w:val="center"/>
              <w:rPr>
                <w:rFonts w:hint="default" w:ascii="Times New Roman" w:hAnsi="Times New Roman" w:cs="Times New Roman"/>
                <w:sz w:val="24"/>
              </w:rPr>
            </w:pPr>
          </w:p>
        </w:tc>
        <w:tc>
          <w:tcPr>
            <w:tcW w:w="1427" w:type="dxa"/>
            <w:vAlign w:val="center"/>
          </w:tcPr>
          <w:p>
            <w:pPr>
              <w:adjustRightInd w:val="0"/>
              <w:snapToGrid w:val="0"/>
              <w:jc w:val="center"/>
              <w:rPr>
                <w:rFonts w:hint="default" w:ascii="Times New Roman" w:hAnsi="Times New Roman" w:cs="Times New Roman"/>
                <w:bCs/>
                <w:kern w:val="44"/>
                <w:sz w:val="24"/>
              </w:rPr>
            </w:pPr>
            <w:r>
              <w:rPr>
                <w:rFonts w:hint="default" w:ascii="Times New Roman" w:hAnsi="Times New Roman" w:cs="Times New Roman"/>
                <w:bCs/>
                <w:kern w:val="44"/>
                <w:sz w:val="24"/>
              </w:rPr>
              <w:t>4</w:t>
            </w:r>
            <w:r>
              <w:rPr>
                <w:rFonts w:hint="default" w:ascii="Times New Roman" w:hAnsi="Times New Roman" w:cs="Times New Roman"/>
                <w:bCs/>
                <w:kern w:val="44"/>
                <w:sz w:val="24"/>
                <w:lang w:val="zh-CN"/>
              </w:rPr>
              <w:t>.</w:t>
            </w:r>
            <w:r>
              <w:rPr>
                <w:rFonts w:hint="eastAsia" w:cs="Times New Roman"/>
                <w:bCs/>
                <w:kern w:val="44"/>
                <w:sz w:val="24"/>
                <w:lang w:val="en-US" w:eastAsia="zh-CN"/>
              </w:rPr>
              <w:t>1.</w:t>
            </w:r>
            <w:r>
              <w:rPr>
                <w:rFonts w:hint="default" w:ascii="Times New Roman" w:hAnsi="Times New Roman" w:cs="Times New Roman"/>
                <w:bCs/>
                <w:kern w:val="44"/>
                <w:sz w:val="24"/>
                <w:lang w:val="zh-CN"/>
              </w:rPr>
              <w:t>1.6.</w:t>
            </w:r>
            <w:r>
              <w:rPr>
                <w:rFonts w:hint="default" w:ascii="Times New Roman" w:hAnsi="Times New Roman" w:cs="Times New Roman"/>
                <w:bCs/>
                <w:kern w:val="44"/>
                <w:sz w:val="24"/>
              </w:rPr>
              <w:t>3</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考核指标1</w:t>
            </w:r>
            <w:r>
              <w:rPr>
                <w:rFonts w:hint="default" w:ascii="Times New Roman" w:hAnsi="Times New Roman" w:cs="Times New Roman"/>
                <w:bCs/>
                <w:kern w:val="44"/>
                <w:sz w:val="24"/>
              </w:rPr>
              <w:t>6</w:t>
            </w:r>
          </w:p>
        </w:tc>
        <w:tc>
          <w:tcPr>
            <w:tcW w:w="731" w:type="dxa"/>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否</w:t>
            </w:r>
          </w:p>
        </w:tc>
        <w:tc>
          <w:tcPr>
            <w:tcW w:w="2464"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企业未建立原辅料出入库台账、设备运行维护台账及危险废物管理台账</w:t>
            </w:r>
          </w:p>
        </w:tc>
        <w:tc>
          <w:tcPr>
            <w:tcW w:w="2761"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建议企业按照规定建立相关台账</w:t>
            </w:r>
          </w:p>
        </w:tc>
      </w:tr>
    </w:tbl>
    <w:p>
      <w:pPr>
        <w:adjustRightInd w:val="0"/>
        <w:snapToGrid w:val="0"/>
        <w:spacing w:line="360" w:lineRule="auto"/>
        <w:ind w:firstLine="562" w:firstLineChars="200"/>
        <w:outlineLvl w:val="3"/>
        <w:rPr>
          <w:rFonts w:hint="default" w:ascii="Times New Roman" w:hAnsi="Times New Roman" w:cs="Times New Roman"/>
          <w:b/>
          <w:sz w:val="28"/>
          <w:szCs w:val="28"/>
        </w:rPr>
      </w:pP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eastAsia" w:cs="Times New Roman"/>
          <w:b/>
          <w:sz w:val="28"/>
          <w:szCs w:val="28"/>
          <w:lang w:val="en-US" w:eastAsia="zh-CN"/>
        </w:rPr>
        <w:t>1.</w:t>
      </w:r>
      <w:r>
        <w:rPr>
          <w:rFonts w:hint="default" w:ascii="Times New Roman" w:hAnsi="Times New Roman" w:cs="Times New Roman"/>
          <w:b/>
          <w:sz w:val="28"/>
          <w:szCs w:val="28"/>
        </w:rPr>
        <w:t>3整治提升工作措施</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根据企业自查，对照企业存在的差距、问题和不足，公司按</w:t>
      </w:r>
      <w:r>
        <w:rPr>
          <w:rFonts w:hint="default" w:ascii="Times New Roman" w:hAnsi="Times New Roman" w:cs="Times New Roman"/>
          <w:bCs/>
          <w:kern w:val="0"/>
          <w:sz w:val="28"/>
          <w:szCs w:val="28"/>
        </w:rPr>
        <w:t>《关于印发工业涂装等3个行业挥发性有机物（VOCs）控制技术指导意见的通知》（温环发〔2019〕14号）等文件要求，拟定以下整治提升措施。</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（1）针对4.1.2.7 考核指标8中不符合现象，采取以下整改措施：</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bCs/>
          <w:sz w:val="28"/>
          <w:szCs w:val="28"/>
        </w:rPr>
        <w:t>◎</w:t>
      </w:r>
      <w:r>
        <w:rPr>
          <w:rFonts w:hint="default" w:ascii="Times New Roman" w:hAnsi="Times New Roman" w:cs="Times New Roman"/>
          <w:sz w:val="28"/>
          <w:szCs w:val="28"/>
        </w:rPr>
        <w:t>按照规定尽快优化废气处理设施，提高废气的收集率和去除率。</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（2）针对4.1.4.2考核指标12中不符合现象，采取以下整改措施：</w:t>
      </w:r>
    </w:p>
    <w:p>
      <w:pPr>
        <w:adjustRightInd w:val="0"/>
        <w:snapToGrid w:val="0"/>
        <w:spacing w:line="360" w:lineRule="auto"/>
        <w:ind w:firstLine="560" w:firstLineChars="200"/>
        <w:rPr>
          <w:rFonts w:hint="default" w:ascii="Times New Roman" w:hAnsi="Times New Roman" w:cs="Times New Roman"/>
          <w:bCs/>
          <w:kern w:val="0"/>
          <w:sz w:val="28"/>
          <w:szCs w:val="28"/>
        </w:rPr>
      </w:pPr>
      <w:r>
        <w:rPr>
          <w:rFonts w:hint="default" w:ascii="Times New Roman" w:hAnsi="Times New Roman" w:cs="Times New Roman"/>
          <w:bCs/>
          <w:sz w:val="28"/>
          <w:szCs w:val="28"/>
        </w:rPr>
        <w:t>◎</w:t>
      </w:r>
      <w:r>
        <w:rPr>
          <w:rFonts w:hint="default" w:ascii="Times New Roman" w:hAnsi="Times New Roman" w:cs="Times New Roman"/>
          <w:sz w:val="28"/>
          <w:szCs w:val="28"/>
        </w:rPr>
        <w:t>按照规定尽快签订相关的危险废物处置协议。</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（3）针对4.1.6.2考核指标15中不符合现象，采取以下整改措施：</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◎尽快建立建有废气处理设施运行工况监控系统和环保管理信息平台。</w:t>
      </w:r>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（4）针对4.1.6.3考核指标16中不符合现象，采取以下整改措施：</w:t>
      </w:r>
    </w:p>
    <w:p>
      <w:pPr>
        <w:tabs>
          <w:tab w:val="left" w:pos="757"/>
        </w:tabs>
        <w:spacing w:line="360" w:lineRule="auto"/>
        <w:ind w:firstLine="560" w:firstLineChars="200"/>
        <w:jc w:val="left"/>
        <w:rPr>
          <w:rFonts w:hint="default" w:ascii="Times New Roman" w:hAnsi="Times New Roman" w:cs="Times New Roman"/>
          <w:b/>
          <w:sz w:val="28"/>
          <w:szCs w:val="28"/>
        </w:rPr>
      </w:pPr>
      <w:r>
        <w:rPr>
          <w:rFonts w:hint="default" w:ascii="Times New Roman" w:hAnsi="Times New Roman" w:cs="Times New Roman"/>
          <w:bCs/>
          <w:sz w:val="28"/>
          <w:szCs w:val="28"/>
        </w:rPr>
        <w:t>◎</w:t>
      </w:r>
      <w:r>
        <w:rPr>
          <w:rFonts w:hint="default" w:ascii="Times New Roman" w:hAnsi="Times New Roman" w:cs="Times New Roman"/>
          <w:sz w:val="28"/>
          <w:szCs w:val="28"/>
        </w:rPr>
        <w:t>按照规定建立设备运行维护台账及危险废物管理台账。</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eastAsia" w:cs="Times New Roman"/>
          <w:b/>
          <w:sz w:val="28"/>
          <w:szCs w:val="28"/>
          <w:lang w:val="en-US" w:eastAsia="zh-CN"/>
        </w:rPr>
        <w:t>1.</w:t>
      </w:r>
      <w:r>
        <w:rPr>
          <w:rFonts w:hint="default" w:ascii="Times New Roman" w:hAnsi="Times New Roman" w:cs="Times New Roman"/>
          <w:b/>
          <w:sz w:val="28"/>
          <w:szCs w:val="28"/>
        </w:rPr>
        <w:t>4结论</w:t>
      </w:r>
    </w:p>
    <w:p>
      <w:pPr>
        <w:adjustRightInd w:val="0"/>
        <w:snapToGrid w:val="0"/>
        <w:spacing w:line="360" w:lineRule="auto"/>
        <w:ind w:firstLine="560" w:firstLineChars="200"/>
        <w:outlineLvl w:val="0"/>
        <w:rPr>
          <w:rFonts w:hint="default" w:ascii="Times New Roman" w:hAnsi="Times New Roman" w:cs="Times New Roman"/>
          <w:bCs/>
          <w:sz w:val="28"/>
          <w:szCs w:val="28"/>
        </w:rPr>
      </w:pPr>
      <w:bookmarkStart w:id="160" w:name="_Toc28357"/>
      <w:bookmarkStart w:id="161" w:name="_Toc26244"/>
      <w:r>
        <w:rPr>
          <w:rFonts w:hint="default" w:ascii="Times New Roman" w:hAnsi="Times New Roman" w:cs="Times New Roman"/>
          <w:bCs/>
          <w:sz w:val="28"/>
          <w:szCs w:val="28"/>
        </w:rPr>
        <w:t>根据</w:t>
      </w:r>
      <w:r>
        <w:rPr>
          <w:rFonts w:hint="default" w:ascii="Times New Roman" w:hAnsi="Times New Roman" w:cs="Times New Roman"/>
          <w:color w:val="000000"/>
          <w:sz w:val="28"/>
        </w:rPr>
        <w:t>《关于印发工业涂装等3个行业挥发性有机物（VOCs）控制技术指导意见的通知》（温环发〔2019〕14号）</w:t>
      </w:r>
      <w:r>
        <w:rPr>
          <w:rFonts w:hint="default" w:ascii="Times New Roman" w:hAnsi="Times New Roman" w:cs="Times New Roman"/>
          <w:bCs/>
          <w:sz w:val="28"/>
          <w:szCs w:val="28"/>
        </w:rPr>
        <w:t>等文件要求，我司组织开展了污染整治成效评估工作。</w:t>
      </w:r>
      <w:bookmarkEnd w:id="160"/>
      <w:bookmarkEnd w:id="161"/>
    </w:p>
    <w:p>
      <w:pPr>
        <w:adjustRightInd w:val="0"/>
        <w:snapToGrid w:val="0"/>
        <w:spacing w:line="360" w:lineRule="auto"/>
        <w:ind w:firstLine="560" w:firstLineChars="200"/>
        <w:outlineLvl w:val="0"/>
        <w:rPr>
          <w:rFonts w:hint="default" w:ascii="Times New Roman" w:hAnsi="Times New Roman" w:cs="Times New Roman"/>
          <w:sz w:val="28"/>
          <w:szCs w:val="28"/>
        </w:rPr>
      </w:pPr>
      <w:bookmarkStart w:id="162" w:name="_Toc20139"/>
      <w:bookmarkStart w:id="163" w:name="_Toc14073"/>
      <w:r>
        <w:rPr>
          <w:rFonts w:hint="default" w:ascii="Times New Roman" w:hAnsi="Times New Roman" w:cs="Times New Roman"/>
          <w:bCs/>
          <w:sz w:val="28"/>
          <w:szCs w:val="28"/>
        </w:rPr>
        <w:t>对照</w:t>
      </w:r>
      <w:r>
        <w:rPr>
          <w:rFonts w:hint="default" w:ascii="Times New Roman" w:hAnsi="Times New Roman" w:cs="Times New Roman"/>
          <w:sz w:val="28"/>
          <w:szCs w:val="28"/>
        </w:rPr>
        <w:t>《温州市工业涂装企业污染整治提升技术指南》中各个考核指标，企业逐一进行自查。自查结果表明，企业已基本完成考核指标中生产合法性、废气收集与处理、废水处理等方面要求。主要问题存在于废气去除率、</w:t>
      </w:r>
      <w:r>
        <w:rPr>
          <w:rFonts w:hint="eastAsia" w:cs="Times New Roman"/>
          <w:sz w:val="28"/>
          <w:szCs w:val="28"/>
          <w:lang w:eastAsia="zh-CN"/>
        </w:rPr>
        <w:t>危废</w:t>
      </w:r>
      <w:r>
        <w:rPr>
          <w:rFonts w:hint="default" w:ascii="Times New Roman" w:hAnsi="Times New Roman" w:cs="Times New Roman"/>
          <w:sz w:val="28"/>
          <w:szCs w:val="28"/>
        </w:rPr>
        <w:t>处理及监督管理方面，通过此次整改评估工作，按照相关要求落实不足之处。</w:t>
      </w:r>
      <w:bookmarkEnd w:id="162"/>
      <w:bookmarkEnd w:id="163"/>
    </w:p>
    <w:p>
      <w:pPr>
        <w:tabs>
          <w:tab w:val="left" w:pos="757"/>
        </w:tabs>
        <w:spacing w:line="360" w:lineRule="auto"/>
        <w:ind w:firstLine="560" w:firstLineChars="200"/>
        <w:jc w:val="left"/>
        <w:rPr>
          <w:rFonts w:hint="default" w:ascii="Times New Roman" w:hAnsi="Times New Roman" w:cs="Times New Roman"/>
          <w:bCs/>
          <w:sz w:val="28"/>
          <w:szCs w:val="28"/>
        </w:rPr>
      </w:pPr>
      <w:r>
        <w:rPr>
          <w:rFonts w:hint="default" w:ascii="Times New Roman" w:hAnsi="Times New Roman" w:cs="Times New Roman"/>
          <w:sz w:val="28"/>
          <w:szCs w:val="28"/>
        </w:rPr>
        <w:t>在自查过程中，通过发现厂</w:t>
      </w:r>
      <w:r>
        <w:rPr>
          <w:rFonts w:hint="default" w:ascii="Times New Roman" w:hAnsi="Times New Roman" w:cs="Times New Roman"/>
          <w:bCs/>
          <w:sz w:val="28"/>
          <w:szCs w:val="28"/>
        </w:rPr>
        <w:t>内存在的问题和不足，逐一整改、落实，完成了相关文件要求，达到污染整治提升目的，取得一定成效。</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default" w:ascii="Times New Roman" w:hAnsi="Times New Roman" w:cs="Times New Roman"/>
          <w:color w:val="000000"/>
          <w:kern w:val="2"/>
          <w:sz w:val="28"/>
        </w:rPr>
      </w:pPr>
      <w:r>
        <w:rPr>
          <w:rFonts w:hint="eastAsia" w:ascii="Times New Roman" w:hAnsi="Times New Roman" w:cs="Times New Roman"/>
          <w:b/>
          <w:sz w:val="28"/>
          <w:szCs w:val="28"/>
          <w:lang w:val="en-US" w:eastAsia="zh-CN"/>
        </w:rPr>
        <w:t>4.2</w:t>
      </w:r>
      <w:r>
        <w:rPr>
          <w:rFonts w:hint="default" w:ascii="Times New Roman" w:hAnsi="Times New Roman" w:cs="Times New Roman"/>
          <w:b/>
          <w:sz w:val="28"/>
          <w:szCs w:val="28"/>
        </w:rPr>
        <w:t>电镀行业符合性分析</w:t>
      </w:r>
    </w:p>
    <w:p>
      <w:pPr>
        <w:tabs>
          <w:tab w:val="left" w:pos="757"/>
        </w:tabs>
        <w:spacing w:line="360" w:lineRule="auto"/>
        <w:ind w:firstLine="560" w:firstLineChars="200"/>
        <w:jc w:val="left"/>
        <w:rPr>
          <w:rFonts w:hint="default" w:ascii="Times New Roman" w:hAnsi="Times New Roman" w:cs="Times New Roman"/>
          <w:color w:val="000000"/>
          <w:sz w:val="28"/>
        </w:rPr>
      </w:pPr>
      <w:r>
        <w:rPr>
          <w:rFonts w:hint="default" w:ascii="Times New Roman" w:hAnsi="Times New Roman" w:cs="Times New Roman"/>
          <w:color w:val="000000"/>
          <w:sz w:val="28"/>
        </w:rPr>
        <w:t>根据《关于进一步加强电镀行业环境污染防治工作的通知》（温环通[2018]6号）中的《温州市电镀企业污染防治措施细化要求》，结合公司现状逐一对照分析，通过严格排查，梳理问题，找出存在的差距。并结合公司实际，提出整改措施和建议。</w:t>
      </w:r>
    </w:p>
    <w:p>
      <w:pPr>
        <w:adjustRightInd w:val="0"/>
        <w:snapToGrid w:val="0"/>
        <w:spacing w:line="360" w:lineRule="auto"/>
        <w:ind w:firstLine="643" w:firstLineChars="200"/>
        <w:outlineLvl w:val="1"/>
        <w:rPr>
          <w:rFonts w:hint="default" w:ascii="Times New Roman" w:hAnsi="Times New Roman" w:cs="Times New Roman"/>
          <w:b/>
          <w:bCs/>
          <w:color w:val="FF0000"/>
          <w:sz w:val="28"/>
          <w:szCs w:val="28"/>
        </w:rPr>
      </w:pPr>
      <w:r>
        <w:rPr>
          <w:rFonts w:hint="eastAsia" w:cs="Times New Roman"/>
          <w:b/>
          <w:bCs/>
          <w:sz w:val="32"/>
          <w:szCs w:val="32"/>
          <w:lang w:eastAsia="zh-CN"/>
        </w:rPr>
        <w:t>4.2.1</w:t>
      </w:r>
      <w:r>
        <w:rPr>
          <w:rFonts w:hint="default" w:ascii="Times New Roman" w:hAnsi="Times New Roman" w:cs="Times New Roman"/>
          <w:b/>
          <w:bCs/>
          <w:sz w:val="32"/>
          <w:szCs w:val="32"/>
        </w:rPr>
        <w:t>污染防治措施细化要求</w:t>
      </w:r>
    </w:p>
    <w:p>
      <w:pPr>
        <w:adjustRightInd w:val="0"/>
        <w:snapToGrid w:val="0"/>
        <w:spacing w:line="360" w:lineRule="auto"/>
        <w:ind w:firstLine="562" w:firstLineChars="200"/>
        <w:outlineLvl w:val="2"/>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.1生产现场</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.1.1 考核指标1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电镀车间实施干湿区分离，湿区架空设置，采取防腐、防渗漏措施，地面托盘设置合理，并保持一定斜度，防止积液，严禁废水落地，车间地面保持干燥</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cs="Times New Roman"/>
          <w:sz w:val="28"/>
          <w:szCs w:val="28"/>
        </w:rPr>
        <w:t>经企业自查，</w:t>
      </w:r>
      <w:r>
        <w:rPr>
          <w:rFonts w:hint="default" w:ascii="Times New Roman" w:hAnsi="Times New Roman" w:cs="Times New Roman"/>
          <w:color w:val="000000"/>
          <w:sz w:val="28"/>
          <w:szCs w:val="28"/>
        </w:rPr>
        <w:t>企业已按要求做好</w:t>
      </w:r>
      <w:r>
        <w:rPr>
          <w:rFonts w:hint="default" w:ascii="Times New Roman" w:hAnsi="Times New Roman" w:eastAsia="Calibri" w:cs="Times New Roman"/>
          <w:sz w:val="28"/>
          <w:szCs w:val="28"/>
        </w:rPr>
        <w:t>干湿区分离，湿区架空设置，并采取了防腐、防渗漏措施，地面设有托盘，并保持一定斜度，防止积液</w:t>
      </w:r>
      <w:r>
        <w:rPr>
          <w:rFonts w:hint="default" w:ascii="Times New Roman" w:hAnsi="Times New Roman"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.1.2 考核指标2 </w:t>
      </w:r>
    </w:p>
    <w:p>
      <w:pPr>
        <w:tabs>
          <w:tab w:val="left" w:pos="757"/>
        </w:tabs>
        <w:spacing w:line="360" w:lineRule="auto"/>
        <w:ind w:firstLine="562" w:firstLineChars="200"/>
        <w:jc w:val="left"/>
        <w:rPr>
          <w:rFonts w:hint="default" w:ascii="Times New Roman" w:hAnsi="Times New Roman" w:cs="Times New Roman"/>
          <w:color w:val="000000"/>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现有电镀车间湿区（产生废水的生产活动区域）所占面积不超过车间总面积的70%，新建项目电镀生产线所占面积不超过该楼层车间总面积</w:t>
      </w:r>
      <w:r>
        <w:rPr>
          <w:rFonts w:hint="default" w:ascii="Times New Roman" w:hAnsi="Times New Roman" w:cs="Times New Roman"/>
          <w:color w:val="000000"/>
          <w:sz w:val="28"/>
          <w:szCs w:val="28"/>
        </w:rPr>
        <w:t>的 1/2。</w:t>
      </w:r>
    </w:p>
    <w:p>
      <w:pPr>
        <w:tabs>
          <w:tab w:val="left" w:pos="757"/>
        </w:tabs>
        <w:spacing w:line="360" w:lineRule="auto"/>
        <w:ind w:firstLine="562" w:firstLineChars="200"/>
        <w:jc w:val="left"/>
        <w:rPr>
          <w:rFonts w:hint="default" w:ascii="Times New Roman" w:hAnsi="Times New Roman" w:cs="Times New Roman"/>
          <w:color w:val="000000"/>
          <w:sz w:val="28"/>
          <w:szCs w:val="28"/>
        </w:rPr>
      </w:pPr>
      <w:r>
        <w:rPr>
          <w:rFonts w:hint="default" w:ascii="Times New Roman" w:hAnsi="Times New Roman" w:cs="Times New Roman"/>
          <w:b/>
          <w:sz w:val="28"/>
          <w:szCs w:val="28"/>
        </w:rPr>
        <w:t>自查和核查：</w:t>
      </w:r>
      <w:r>
        <w:rPr>
          <w:rFonts w:hint="default" w:ascii="Times New Roman" w:hAnsi="Times New Roman" w:cs="Times New Roman"/>
          <w:color w:val="000000"/>
          <w:sz w:val="28"/>
          <w:szCs w:val="28"/>
        </w:rPr>
        <w:t>经企业自查，本项目为改建项目，电镀车间湿区所占面积不超过该层车间总面积70%。</w:t>
      </w:r>
      <w:r>
        <w:rPr>
          <w:rFonts w:hint="default" w:ascii="Times New Roman" w:hAnsi="Times New Roman" w:cs="Times New Roman"/>
          <w:b/>
          <w:sz w:val="28"/>
          <w:szCs w:val="28"/>
        </w:rPr>
        <w:t>符合考核要求</w:t>
      </w:r>
      <w:r>
        <w:rPr>
          <w:rFonts w:hint="default" w:ascii="Times New Roman" w:hAnsi="Times New Roman" w:cs="Times New Roman"/>
          <w:color w:val="000000"/>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.1.3 考核指标3 </w:t>
      </w:r>
    </w:p>
    <w:p>
      <w:pPr>
        <w:tabs>
          <w:tab w:val="left" w:pos="757"/>
        </w:tabs>
        <w:spacing w:line="360" w:lineRule="auto"/>
        <w:ind w:firstLine="562" w:firstLineChars="200"/>
        <w:jc w:val="left"/>
        <w:rPr>
          <w:rFonts w:hint="default" w:ascii="Times New Roman" w:hAnsi="Times New Roman" w:cs="Times New Roman"/>
          <w:color w:val="000000"/>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园区企业每层楼面电镀生产，不人为设置隔断，一楼电镀生产线（包括前处理设备） 做到整体架空。新建项目电镀生产线（包括前处理设备）做到整体架空</w:t>
      </w:r>
      <w:r>
        <w:rPr>
          <w:rFonts w:hint="default" w:ascii="Times New Roman" w:hAnsi="Times New Roman" w:cs="Times New Roman"/>
          <w:color w:val="000000"/>
          <w:sz w:val="28"/>
          <w:szCs w:val="28"/>
        </w:rPr>
        <w:t>。</w:t>
      </w:r>
    </w:p>
    <w:p>
      <w:pPr>
        <w:tabs>
          <w:tab w:val="left" w:pos="757"/>
        </w:tabs>
        <w:spacing w:line="360" w:lineRule="auto"/>
        <w:ind w:firstLine="562" w:firstLineChars="200"/>
        <w:jc w:val="left"/>
        <w:rPr>
          <w:rFonts w:hint="default" w:ascii="Times New Roman" w:hAnsi="Times New Roman" w:cs="Times New Roman"/>
          <w:color w:val="000000"/>
          <w:sz w:val="28"/>
          <w:szCs w:val="28"/>
        </w:rPr>
      </w:pPr>
      <w:r>
        <w:rPr>
          <w:rFonts w:hint="default" w:ascii="Times New Roman" w:hAnsi="Times New Roman" w:cs="Times New Roman"/>
          <w:b/>
          <w:sz w:val="28"/>
          <w:szCs w:val="28"/>
        </w:rPr>
        <w:t>自查和核查：</w:t>
      </w:r>
      <w:r>
        <w:rPr>
          <w:rFonts w:hint="default" w:ascii="Times New Roman" w:hAnsi="Times New Roman" w:cs="Times New Roman"/>
          <w:color w:val="000000"/>
          <w:sz w:val="28"/>
          <w:szCs w:val="28"/>
        </w:rPr>
        <w:t>经企业自查，</w:t>
      </w:r>
      <w:r>
        <w:rPr>
          <w:rFonts w:hint="default" w:ascii="Times New Roman" w:hAnsi="Times New Roman" w:eastAsia="Calibri" w:cs="Times New Roman"/>
          <w:sz w:val="28"/>
          <w:szCs w:val="28"/>
        </w:rPr>
        <w:t>本项目每层楼面电镀生产，不人为设置隔</w:t>
      </w:r>
      <w:r>
        <w:rPr>
          <w:rFonts w:hint="default" w:ascii="Times New Roman" w:hAnsi="Times New Roman" w:cs="Times New Roman"/>
          <w:color w:val="000000"/>
          <w:sz w:val="28"/>
          <w:szCs w:val="28"/>
        </w:rPr>
        <w:t>断</w:t>
      </w:r>
      <w:r>
        <w:rPr>
          <w:rFonts w:hint="default" w:ascii="Times New Roman" w:hAnsi="Times New Roman" w:cs="Times New Roman"/>
          <w:color w:val="000000"/>
          <w:sz w:val="28"/>
          <w:szCs w:val="28"/>
          <w:lang w:eastAsia="zh-CN"/>
        </w:rPr>
        <w:t>，</w:t>
      </w:r>
      <w:r>
        <w:rPr>
          <w:rFonts w:hint="default" w:ascii="Times New Roman" w:hAnsi="Times New Roman" w:cs="Times New Roman"/>
          <w:color w:val="000000"/>
          <w:sz w:val="28"/>
          <w:szCs w:val="28"/>
        </w:rPr>
        <w:t>电镀生产线整体架空。</w:t>
      </w:r>
      <w:r>
        <w:rPr>
          <w:rFonts w:hint="default" w:ascii="Times New Roman" w:hAnsi="Times New Roman" w:cs="Times New Roman"/>
          <w:b/>
          <w:sz w:val="28"/>
          <w:szCs w:val="28"/>
        </w:rPr>
        <w:t>符合考核要求</w:t>
      </w:r>
      <w:r>
        <w:rPr>
          <w:rFonts w:hint="default" w:ascii="Times New Roman" w:hAnsi="Times New Roman" w:cs="Times New Roman"/>
          <w:color w:val="000000"/>
          <w:sz w:val="28"/>
          <w:szCs w:val="28"/>
        </w:rPr>
        <w:t>。</w:t>
      </w:r>
    </w:p>
    <w:p>
      <w:pPr>
        <w:adjustRightInd w:val="0"/>
        <w:snapToGrid w:val="0"/>
        <w:spacing w:line="360" w:lineRule="auto"/>
        <w:ind w:firstLine="562" w:firstLineChars="200"/>
        <w:outlineLvl w:val="2"/>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.2废水收集</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.2.1 考核指标4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含氰废水按废水处理设计要求进行合理分流、处理，含铬、镍等第一类污染物的废水分别单独收集，处理达标后方可与其他废水合并处理，在混入其他废水前要分别设置排放口和标志牌，排放口必须满足正常监管和监测采样的要求</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经企业自查，车间废水分质分流后经不同管道纳入</w:t>
      </w:r>
      <w:r>
        <w:rPr>
          <w:rFonts w:hint="eastAsia" w:cs="Times New Roman"/>
          <w:sz w:val="28"/>
          <w:szCs w:val="28"/>
          <w:lang w:eastAsia="zh-CN"/>
        </w:rPr>
        <w:t>基地污水处理站</w:t>
      </w:r>
      <w:r>
        <w:rPr>
          <w:rFonts w:hint="default" w:ascii="Times New Roman" w:hAnsi="Times New Roman" w:eastAsia="Calibri" w:cs="Times New Roman"/>
          <w:sz w:val="28"/>
          <w:szCs w:val="28"/>
        </w:rPr>
        <w:t>集中处理。</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.3废气收集与处理</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.3.1 考核指标5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电镀生产线要封闭收集废气，在不影响生产情况下，封闭设施要紧贴生产线设置，不能将工人作业活动封闭在内</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改建项目</w:t>
      </w:r>
      <w:r>
        <w:rPr>
          <w:rFonts w:hint="eastAsia" w:cs="Times New Roman"/>
          <w:sz w:val="28"/>
          <w:szCs w:val="28"/>
          <w:lang w:eastAsia="zh-CN"/>
        </w:rPr>
        <w:t>挂镀生产线</w:t>
      </w:r>
      <w:r>
        <w:rPr>
          <w:rFonts w:hint="default" w:ascii="Times New Roman" w:hAnsi="Times New Roman" w:eastAsia="宋体" w:cs="Times New Roman"/>
          <w:sz w:val="28"/>
          <w:szCs w:val="28"/>
          <w:lang w:eastAsia="zh-CN"/>
        </w:rPr>
        <w:t>设置密闭车间集气收集</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t>滚镀生产线、手动线设置半封闭式集气罩收集。</w:t>
      </w:r>
      <w:r>
        <w:rPr>
          <w:rFonts w:hint="eastAsia" w:cs="Times New Roman"/>
          <w:b/>
          <w:bCs/>
          <w:sz w:val="28"/>
          <w:szCs w:val="28"/>
          <w:lang w:eastAsia="zh-CN"/>
        </w:rPr>
        <w:t>基本</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.3.2 考核指标6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确因生产工艺需要无法全封闭的，要尽量减少开口，并设置半密闭式集气罩等方式收集废气，可参考《浙江省电镀行业污染防治技术指南》设计参数：铬酸雾槽的液面收集风速为0.4~0.5m/s，氰化物槽的液面收集风速为0.3~0.4m/s，其他酸雾槽的液面收集风速不小于0.2m/s，碱雾槽的液面收集风速不小于0.3m/s</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w:t>
      </w:r>
      <w:r>
        <w:rPr>
          <w:rFonts w:hint="default" w:ascii="Times New Roman" w:hAnsi="Times New Roman" w:eastAsia="Calibri" w:cs="Times New Roman"/>
          <w:sz w:val="28"/>
          <w:szCs w:val="28"/>
          <w:lang w:eastAsia="zh-CN"/>
        </w:rPr>
        <w:t>项目</w:t>
      </w:r>
      <w:r>
        <w:rPr>
          <w:rFonts w:hint="default" w:ascii="Times New Roman" w:hAnsi="Times New Roman" w:eastAsia="Calibri" w:cs="Times New Roman"/>
          <w:sz w:val="28"/>
          <w:szCs w:val="28"/>
        </w:rPr>
        <w:t>滚镀生产线、手动线设置半封闭式集气罩收集废气并按要求设计</w:t>
      </w:r>
      <w:r>
        <w:rPr>
          <w:rFonts w:hint="eastAsia" w:cs="Times New Roman"/>
          <w:sz w:val="28"/>
          <w:szCs w:val="28"/>
          <w:lang w:eastAsia="zh-CN"/>
        </w:rPr>
        <w:t>风速</w:t>
      </w:r>
      <w:r>
        <w:rPr>
          <w:rFonts w:hint="default" w:ascii="Times New Roman" w:hAnsi="Times New Roman" w:eastAsia="Calibri"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tabs>
          <w:tab w:val="left" w:pos="757"/>
        </w:tabs>
        <w:adjustRightInd/>
        <w:snapToGrid/>
        <w:spacing w:line="360" w:lineRule="auto"/>
        <w:ind w:firstLine="562" w:firstLineChars="200"/>
        <w:jc w:val="left"/>
        <w:outlineLvl w:val="9"/>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.3.3 考核指标7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酸洗车间单独设置的，要全密闭收集废气，因工艺需要无法全密闭的，要通过半包围侧吸等方式收集废气</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eastAsia" w:cs="Times New Roman"/>
          <w:sz w:val="28"/>
          <w:szCs w:val="28"/>
          <w:lang w:eastAsia="zh-CN"/>
        </w:rPr>
        <w:t>改建</w:t>
      </w:r>
      <w:r>
        <w:rPr>
          <w:rFonts w:hint="default" w:ascii="Times New Roman" w:hAnsi="Times New Roman" w:eastAsia="Calibri" w:cs="Times New Roman"/>
          <w:sz w:val="28"/>
          <w:szCs w:val="28"/>
        </w:rPr>
        <w:t>项目</w:t>
      </w:r>
      <w:r>
        <w:rPr>
          <w:rFonts w:hint="default" w:ascii="Times New Roman" w:hAnsi="Times New Roman" w:eastAsia="宋体" w:cs="Times New Roman"/>
          <w:sz w:val="28"/>
          <w:szCs w:val="28"/>
          <w:lang w:eastAsia="zh-CN"/>
        </w:rPr>
        <w:t>不涉及酸洗工艺</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.3.4 考核指标8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逸散酸雾或臭气的原材料、废酸、废渣等应堆放于独立设置的密闭场所，加装引风装置对废气进行收集、处理</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eastAsia" w:cs="Times New Roman"/>
          <w:sz w:val="28"/>
          <w:szCs w:val="28"/>
          <w:lang w:eastAsia="zh-CN"/>
        </w:rPr>
        <w:t>改建</w:t>
      </w:r>
      <w:r>
        <w:rPr>
          <w:rFonts w:hint="default" w:ascii="Times New Roman" w:hAnsi="Times New Roman" w:eastAsia="Calibri" w:cs="Times New Roman"/>
          <w:sz w:val="28"/>
          <w:szCs w:val="28"/>
        </w:rPr>
        <w:t>项目原材料、废酸、废渣等堆放于独立设置的密闭场所，已加装引风装置对废气进行收集。</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.3.5 考核指标9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喷涂等产生含挥发性有机废气的，应当在密闭空间或者设备中进行，无法密闭的，应当采取措施减少废气排放</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经企业自查，本项目</w:t>
      </w:r>
      <w:r>
        <w:rPr>
          <w:rFonts w:hint="default" w:ascii="Times New Roman" w:hAnsi="Times New Roman" w:eastAsia="Calibri" w:cs="Times New Roman"/>
          <w:color w:val="auto"/>
          <w:sz w:val="28"/>
          <w:szCs w:val="28"/>
        </w:rPr>
        <w:t>为改建项目，不涉及喷涂等有机废气</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.3.6 考核指标10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园区企业车间废水集中收集池要加盖收集废气，并处理达标排放，禁止废气不经处理直接排放</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经企业自查，本项目车间废水分质分流后经不同管道纳入</w:t>
      </w:r>
      <w:r>
        <w:rPr>
          <w:rFonts w:hint="eastAsia" w:cs="Times New Roman"/>
          <w:sz w:val="28"/>
          <w:szCs w:val="28"/>
          <w:lang w:eastAsia="zh-CN"/>
        </w:rPr>
        <w:t>基地污水处理站</w:t>
      </w:r>
      <w:r>
        <w:rPr>
          <w:rFonts w:hint="default" w:ascii="Times New Roman" w:hAnsi="Times New Roman" w:eastAsia="Calibri" w:cs="Times New Roman"/>
          <w:sz w:val="28"/>
          <w:szCs w:val="28"/>
        </w:rPr>
        <w:t>集中处理，不涉及废水处理</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.3.7 考核指标11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电镀园区污水处理厂和电镀企业污水处理设施所有产生废气的收集池、反应池要加盖密闭收集废气，其中含氰、含铬废水收集池、反应池必须加盖密闭收集废气。所有收集的废气须经处理设施处理达标 后排放，禁止加盖后的废气通过其他通道不经处理直接排放</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经企业自查，项目</w:t>
      </w:r>
      <w:r>
        <w:rPr>
          <w:rFonts w:hint="eastAsia" w:cs="Times New Roman"/>
          <w:sz w:val="28"/>
          <w:szCs w:val="28"/>
          <w:lang w:eastAsia="zh-CN"/>
        </w:rPr>
        <w:t>基地污水处理站</w:t>
      </w:r>
      <w:r>
        <w:rPr>
          <w:rFonts w:hint="default" w:ascii="Times New Roman" w:hAnsi="Times New Roman" w:eastAsia="Calibri" w:cs="Times New Roman"/>
          <w:sz w:val="28"/>
          <w:szCs w:val="28"/>
        </w:rPr>
        <w:t>已按要求执行</w:t>
      </w:r>
      <w:r>
        <w:rPr>
          <w:rFonts w:hint="default" w:ascii="Times New Roman" w:hAnsi="Times New Roman"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.3.8 考核指标12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有机废气应单独收集、处理，并按照规定安装、使用污染处理设施</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经企业自查，本项目为</w:t>
      </w:r>
      <w:r>
        <w:rPr>
          <w:rFonts w:hint="default" w:ascii="Times New Roman" w:hAnsi="Times New Roman" w:eastAsia="Calibri" w:cs="Times New Roman"/>
          <w:color w:val="auto"/>
          <w:sz w:val="28"/>
          <w:szCs w:val="28"/>
        </w:rPr>
        <w:t>改建项目，不涉及喷涂等有机废气</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.3.9 考核指标13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所有密闭、半密闭及加盖收集废气的装置，都要保持负压状态，并有负压检测的标识</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w:t>
      </w:r>
      <w:r>
        <w:rPr>
          <w:rFonts w:hint="default" w:ascii="Times New Roman" w:hAnsi="Times New Roman" w:eastAsia="Calibri" w:cs="Times New Roman"/>
          <w:sz w:val="28"/>
          <w:szCs w:val="28"/>
        </w:rPr>
        <w:t>项目</w:t>
      </w:r>
      <w:r>
        <w:rPr>
          <w:rFonts w:hint="eastAsia" w:cs="Times New Roman"/>
          <w:sz w:val="28"/>
          <w:szCs w:val="28"/>
          <w:lang w:eastAsia="zh-CN"/>
        </w:rPr>
        <w:t>挂镀生产线</w:t>
      </w:r>
      <w:r>
        <w:rPr>
          <w:rFonts w:hint="default" w:ascii="Times New Roman" w:hAnsi="Times New Roman" w:eastAsia="宋体" w:cs="Times New Roman"/>
          <w:sz w:val="28"/>
          <w:szCs w:val="28"/>
          <w:lang w:eastAsia="zh-CN"/>
        </w:rPr>
        <w:t>设置密闭车间集气收集</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t>滚镀生产线、手动线设置半封闭式集气罩收集，</w:t>
      </w:r>
      <w:r>
        <w:rPr>
          <w:rFonts w:hint="default" w:ascii="Times New Roman" w:hAnsi="Times New Roman" w:eastAsia="Calibri" w:cs="Times New Roman"/>
          <w:sz w:val="28"/>
          <w:szCs w:val="28"/>
        </w:rPr>
        <w:t>保持负压状态</w:t>
      </w:r>
      <w:r>
        <w:rPr>
          <w:rFonts w:hint="eastAsia" w:ascii="Times New Roman" w:hAnsi="Times New Roman" w:eastAsia="宋体" w:cs="Times New Roman"/>
          <w:sz w:val="28"/>
          <w:szCs w:val="28"/>
          <w:lang w:eastAsia="zh-CN"/>
        </w:rPr>
        <w:t>，</w:t>
      </w:r>
      <w:r>
        <w:rPr>
          <w:rFonts w:hint="default" w:ascii="Times New Roman" w:hAnsi="Times New Roman" w:eastAsia="Calibri" w:cs="Times New Roman"/>
          <w:sz w:val="28"/>
          <w:szCs w:val="28"/>
        </w:rPr>
        <w:t>并有负压检测的标识</w:t>
      </w:r>
      <w:r>
        <w:rPr>
          <w:rFonts w:hint="default" w:ascii="Times New Roman" w:hAnsi="Times New Roman" w:cs="Times New Roman"/>
          <w:color w:val="auto"/>
          <w:sz w:val="28"/>
          <w:szCs w:val="28"/>
        </w:rPr>
        <w:t>。</w:t>
      </w:r>
      <w:r>
        <w:rPr>
          <w:rFonts w:hint="default" w:ascii="Times New Roman" w:hAnsi="Times New Roman" w:cs="Times New Roman"/>
          <w:b/>
          <w:bCs/>
          <w:color w:val="auto"/>
          <w:sz w:val="28"/>
          <w:szCs w:val="28"/>
        </w:rPr>
        <w:t>符合考核要求</w:t>
      </w:r>
      <w:r>
        <w:rPr>
          <w:rFonts w:hint="default" w:ascii="Times New Roman" w:hAnsi="Times New Roman" w:cs="Times New Roman"/>
          <w:color w:val="auto"/>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.3.10 考核指标14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废气吸收塔应用标识标牌注明废气塔类型，处理工艺，处理技术要求，并配置废气处理设施PH自动监测和自动加药系统</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w:t>
      </w:r>
      <w:r>
        <w:rPr>
          <w:rFonts w:hint="default" w:ascii="Times New Roman" w:hAnsi="Times New Roman" w:eastAsia="Calibri" w:cs="Times New Roman"/>
          <w:sz w:val="28"/>
          <w:szCs w:val="28"/>
        </w:rPr>
        <w:t>项目废气吸收塔应用标识标牌已注明废气塔类型，处理工艺，处理技术要求，并配置废气处理设施PH自动监测和自动加药系统</w:t>
      </w:r>
      <w:r>
        <w:rPr>
          <w:rFonts w:hint="default" w:ascii="Times New Roman" w:hAnsi="Times New Roman" w:cs="Times New Roman"/>
          <w:sz w:val="28"/>
          <w:szCs w:val="28"/>
        </w:rPr>
        <w:t>。</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.3.11 考核指标15 </w:t>
      </w:r>
    </w:p>
    <w:p>
      <w:pPr>
        <w:pStyle w:val="77"/>
        <w:autoSpaceDE w:val="0"/>
        <w:autoSpaceDN w:val="0"/>
        <w:spacing w:line="360" w:lineRule="auto"/>
        <w:ind w:left="107" w:firstLine="560" w:firstLineChars="200"/>
        <w:jc w:val="left"/>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考核要求：</w:t>
      </w:r>
      <w:r>
        <w:rPr>
          <w:rFonts w:hint="default" w:ascii="Times New Roman" w:hAnsi="Times New Roman" w:eastAsia="Calibri" w:cs="Times New Roman"/>
          <w:sz w:val="28"/>
          <w:szCs w:val="28"/>
        </w:rPr>
        <w:t>按《排污口规范化整治技术要求》设置废气排放口，并设置排放口标志牌；废气排气筒设置符合规范，高度不能达到要求的，大气污染物排放浓度应按《电镀污染物排放标准》（GB21900-2008）限值的50%执行。</w:t>
      </w:r>
    </w:p>
    <w:p>
      <w:pPr>
        <w:tabs>
          <w:tab w:val="left" w:pos="757"/>
        </w:tabs>
        <w:spacing w:line="360" w:lineRule="auto"/>
        <w:ind w:firstLine="560" w:firstLineChars="200"/>
        <w:jc w:val="left"/>
        <w:rPr>
          <w:rFonts w:hint="default" w:ascii="Times New Roman" w:hAnsi="Times New Roman" w:eastAsia="Calibri" w:cs="Times New Roman"/>
          <w:sz w:val="28"/>
          <w:szCs w:val="28"/>
        </w:rPr>
      </w:pPr>
      <w:r>
        <w:rPr>
          <w:rFonts w:hint="default" w:ascii="Times New Roman" w:hAnsi="Times New Roman" w:eastAsia="Calibri" w:cs="Times New Roman"/>
          <w:b/>
          <w:bCs/>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w:t>
      </w:r>
      <w:r>
        <w:rPr>
          <w:rFonts w:hint="default" w:ascii="Times New Roman" w:hAnsi="Times New Roman" w:eastAsia="Calibri" w:cs="Times New Roman"/>
          <w:sz w:val="28"/>
          <w:szCs w:val="28"/>
        </w:rPr>
        <w:t>项目废气排气筒设置符合规范，高度达到要求。</w:t>
      </w:r>
      <w:r>
        <w:rPr>
          <w:rFonts w:hint="default" w:ascii="Times New Roman" w:hAnsi="Times New Roman" w:eastAsia="Calibri" w:cs="Times New Roman"/>
          <w:b/>
          <w:bCs/>
          <w:sz w:val="28"/>
          <w:szCs w:val="28"/>
        </w:rPr>
        <w:t>符合考核要求</w:t>
      </w:r>
      <w:r>
        <w:rPr>
          <w:rFonts w:hint="default" w:ascii="Times New Roman" w:hAnsi="Times New Roman" w:eastAsia="Calibri"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.4处理设施运维管理</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w:t>
      </w:r>
      <w:r>
        <w:rPr>
          <w:rFonts w:hint="eastAsia" w:cs="Times New Roman"/>
          <w:b/>
          <w:sz w:val="28"/>
          <w:szCs w:val="28"/>
          <w:lang w:eastAsia="zh-CN"/>
        </w:rPr>
        <w:t>4.2.1</w:t>
      </w:r>
      <w:r>
        <w:rPr>
          <w:rFonts w:hint="default" w:ascii="Times New Roman" w:hAnsi="Times New Roman" w:cs="Times New Roman"/>
          <w:b/>
          <w:sz w:val="28"/>
          <w:szCs w:val="28"/>
        </w:rPr>
        <w:t xml:space="preserve"> 考核指标16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电镀园区至少配备2名环保管理员，园区电镀企业至少配备1名环保管理员，并建立管理员工作制度</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经企业自查，本项目配有2名环保管理人员，并建有管理员工作制度。</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w:t>
      </w:r>
      <w:r>
        <w:rPr>
          <w:rFonts w:hint="eastAsia" w:cs="Times New Roman"/>
          <w:b/>
          <w:sz w:val="28"/>
          <w:szCs w:val="28"/>
          <w:lang w:eastAsia="zh-CN"/>
        </w:rPr>
        <w:t>4.2.1</w:t>
      </w:r>
      <w:r>
        <w:rPr>
          <w:rFonts w:hint="default" w:ascii="Times New Roman" w:hAnsi="Times New Roman" w:cs="Times New Roman"/>
          <w:b/>
          <w:sz w:val="28"/>
          <w:szCs w:val="28"/>
        </w:rPr>
        <w:t xml:space="preserve"> 考核指标17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废气处理设施建有运行监控系统和环保管理信息平台，并设置独立电表</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经企业自查，本项目废气处理设施暂未建有运行监控系统和环保管理信息平台，并设置独立电表。</w:t>
      </w:r>
      <w:r>
        <w:rPr>
          <w:rFonts w:hint="default" w:ascii="Times New Roman" w:hAnsi="Times New Roman" w:eastAsia="Calibri" w:cs="Times New Roman"/>
          <w:b/>
          <w:bCs/>
          <w:sz w:val="28"/>
          <w:szCs w:val="28"/>
        </w:rPr>
        <w:t>不</w:t>
      </w:r>
      <w:r>
        <w:rPr>
          <w:rFonts w:hint="default" w:ascii="Times New Roman" w:hAnsi="Times New Roman" w:cs="Times New Roman"/>
          <w:b/>
          <w:bCs/>
          <w:sz w:val="28"/>
          <w:szCs w:val="28"/>
        </w:rPr>
        <w:t>符合考核要求</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建议：</w:t>
      </w:r>
      <w:r>
        <w:rPr>
          <w:rFonts w:hint="default" w:ascii="Times New Roman" w:hAnsi="Times New Roman" w:cs="Times New Roman"/>
          <w:bCs/>
          <w:sz w:val="28"/>
          <w:szCs w:val="28"/>
        </w:rPr>
        <w:t>建议企业针对废气处理设施，建设运行监控系统和环保管理信息平台，并设置独立电表。</w:t>
      </w:r>
    </w:p>
    <w:p>
      <w:pPr>
        <w:adjustRightInd w:val="0"/>
        <w:snapToGrid w:val="0"/>
        <w:spacing w:line="360" w:lineRule="auto"/>
        <w:ind w:firstLine="562" w:firstLineChars="200"/>
        <w:outlineLvl w:val="3"/>
        <w:rPr>
          <w:rFonts w:hint="default" w:ascii="Times New Roman" w:hAnsi="Times New Roman" w:cs="Times New Roman"/>
          <w:b/>
          <w:sz w:val="28"/>
          <w:szCs w:val="28"/>
        </w:rPr>
      </w:pPr>
      <w:r>
        <w:rPr>
          <w:rFonts w:hint="eastAsia" w:cs="Times New Roman"/>
          <w:b/>
          <w:sz w:val="28"/>
          <w:szCs w:val="28"/>
          <w:lang w:eastAsia="zh-CN"/>
        </w:rPr>
        <w:t>4.2.1</w:t>
      </w:r>
      <w:r>
        <w:rPr>
          <w:rFonts w:hint="default" w:ascii="Times New Roman" w:hAnsi="Times New Roman" w:cs="Times New Roman"/>
          <w:b/>
          <w:sz w:val="28"/>
          <w:szCs w:val="28"/>
        </w:rPr>
        <w:t xml:space="preserve">.4.3 考核指标18 </w:t>
      </w:r>
    </w:p>
    <w:p>
      <w:pPr>
        <w:adjustRightInd w:val="0"/>
        <w:snapToGrid w:val="0"/>
        <w:spacing w:line="360" w:lineRule="auto"/>
        <w:ind w:firstLine="562" w:firstLineChars="200"/>
        <w:rPr>
          <w:rFonts w:hint="default" w:ascii="Times New Roman" w:hAnsi="Times New Roman" w:cs="Times New Roman"/>
          <w:sz w:val="28"/>
          <w:szCs w:val="28"/>
        </w:rPr>
      </w:pPr>
      <w:r>
        <w:rPr>
          <w:rFonts w:hint="default" w:ascii="Times New Roman" w:hAnsi="Times New Roman" w:cs="Times New Roman"/>
          <w:b/>
          <w:kern w:val="0"/>
          <w:sz w:val="28"/>
          <w:szCs w:val="28"/>
        </w:rPr>
        <w:t>考核要求：</w:t>
      </w:r>
      <w:r>
        <w:rPr>
          <w:rFonts w:hint="default" w:ascii="Times New Roman" w:hAnsi="Times New Roman" w:eastAsia="Calibri" w:cs="Times New Roman"/>
          <w:sz w:val="28"/>
          <w:szCs w:val="28"/>
        </w:rPr>
        <w:t>按要求在第一类污染物废水排放口建设重金属在线自动监测设施，废水总排口建设重金属、化学需氧量、氨氮、PH 等在线自动监测设施和并与环保部门联网</w:t>
      </w:r>
      <w:r>
        <w:rPr>
          <w:rFonts w:hint="default" w:ascii="Times New Roman" w:hAnsi="Times New Roman" w:cs="Times New Roman"/>
          <w:sz w:val="28"/>
          <w:szCs w:val="28"/>
        </w:rPr>
        <w:t>。</w:t>
      </w:r>
    </w:p>
    <w:p>
      <w:pPr>
        <w:tabs>
          <w:tab w:val="left" w:pos="757"/>
        </w:tabs>
        <w:spacing w:line="360" w:lineRule="auto"/>
        <w:ind w:firstLine="562" w:firstLineChars="200"/>
        <w:jc w:val="left"/>
        <w:rPr>
          <w:rFonts w:hint="default" w:ascii="Times New Roman" w:hAnsi="Times New Roman" w:cs="Times New Roman"/>
          <w:sz w:val="28"/>
          <w:szCs w:val="28"/>
        </w:rPr>
      </w:pPr>
      <w:r>
        <w:rPr>
          <w:rFonts w:hint="default" w:ascii="Times New Roman" w:hAnsi="Times New Roman" w:cs="Times New Roman"/>
          <w:b/>
          <w:sz w:val="28"/>
          <w:szCs w:val="28"/>
        </w:rPr>
        <w:t>自查和核查：</w:t>
      </w:r>
      <w:r>
        <w:rPr>
          <w:rFonts w:hint="default" w:ascii="Times New Roman" w:hAnsi="Times New Roman" w:eastAsia="Calibri" w:cs="Times New Roman"/>
          <w:sz w:val="28"/>
          <w:szCs w:val="28"/>
        </w:rPr>
        <w:t>经企业自查，</w:t>
      </w:r>
      <w:r>
        <w:rPr>
          <w:rFonts w:hint="default" w:ascii="Times New Roman" w:hAnsi="Times New Roman" w:eastAsia="宋体" w:cs="Times New Roman"/>
          <w:sz w:val="28"/>
          <w:szCs w:val="28"/>
          <w:lang w:eastAsia="zh-CN"/>
        </w:rPr>
        <w:t>改建</w:t>
      </w:r>
      <w:r>
        <w:rPr>
          <w:rFonts w:hint="default" w:ascii="Times New Roman" w:hAnsi="Times New Roman" w:eastAsia="Calibri" w:cs="Times New Roman"/>
          <w:sz w:val="28"/>
          <w:szCs w:val="28"/>
        </w:rPr>
        <w:t>项目车间废水分质分流后经不同管道纳入</w:t>
      </w:r>
      <w:r>
        <w:rPr>
          <w:rFonts w:hint="eastAsia" w:cs="Times New Roman"/>
          <w:sz w:val="28"/>
          <w:szCs w:val="28"/>
          <w:lang w:eastAsia="zh-CN"/>
        </w:rPr>
        <w:t>基地污水处理站</w:t>
      </w:r>
      <w:r>
        <w:rPr>
          <w:rFonts w:hint="default" w:ascii="Times New Roman" w:hAnsi="Times New Roman" w:eastAsia="Calibri" w:cs="Times New Roman"/>
          <w:sz w:val="28"/>
          <w:szCs w:val="28"/>
        </w:rPr>
        <w:t>集中处理，不涉及废水处理</w:t>
      </w:r>
      <w:r>
        <w:rPr>
          <w:rFonts w:hint="default" w:ascii="Times New Roman" w:hAnsi="Times New Roman" w:cs="Times New Roman"/>
          <w:sz w:val="28"/>
          <w:szCs w:val="28"/>
        </w:rPr>
        <w:t>。</w:t>
      </w:r>
    </w:p>
    <w:p>
      <w:pPr>
        <w:adjustRightInd w:val="0"/>
        <w:snapToGrid w:val="0"/>
        <w:spacing w:line="360" w:lineRule="auto"/>
        <w:ind w:firstLine="562" w:firstLineChars="200"/>
        <w:outlineLvl w:val="2"/>
        <w:rPr>
          <w:rFonts w:hint="default" w:ascii="Times New Roman" w:hAnsi="Times New Roman" w:cs="Times New Roman"/>
          <w:b/>
          <w:sz w:val="28"/>
          <w:szCs w:val="28"/>
        </w:rPr>
      </w:pPr>
      <w:r>
        <w:rPr>
          <w:rFonts w:hint="eastAsia" w:cs="Times New Roman"/>
          <w:b/>
          <w:sz w:val="28"/>
          <w:szCs w:val="28"/>
          <w:lang w:eastAsia="zh-CN"/>
        </w:rPr>
        <w:t>4.2.</w:t>
      </w:r>
      <w:r>
        <w:rPr>
          <w:rFonts w:hint="eastAsia" w:cs="Times New Roman"/>
          <w:b/>
          <w:sz w:val="28"/>
          <w:szCs w:val="28"/>
          <w:lang w:val="en-US" w:eastAsia="zh-CN"/>
        </w:rPr>
        <w:t>2</w:t>
      </w:r>
      <w:r>
        <w:rPr>
          <w:rFonts w:hint="default" w:ascii="Times New Roman" w:hAnsi="Times New Roman" w:cs="Times New Roman"/>
          <w:b/>
          <w:sz w:val="28"/>
          <w:szCs w:val="28"/>
        </w:rPr>
        <w:t>考核标准对照汇总表</w:t>
      </w:r>
    </w:p>
    <w:p>
      <w:pPr>
        <w:tabs>
          <w:tab w:val="left" w:pos="757"/>
        </w:tabs>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根据</w:t>
      </w:r>
      <w:r>
        <w:rPr>
          <w:rFonts w:hint="default" w:ascii="Times New Roman" w:hAnsi="Times New Roman" w:cs="Times New Roman"/>
          <w:color w:val="000000"/>
          <w:sz w:val="28"/>
        </w:rPr>
        <w:t>《关于进一步加强电镀行业环境污染防治工作的通知》（温环通[2018]6号）中的《温州市电镀企业污染防治措施细化要求》</w:t>
      </w:r>
      <w:r>
        <w:rPr>
          <w:rFonts w:hint="default" w:ascii="Times New Roman" w:hAnsi="Times New Roman" w:cs="Times New Roman"/>
          <w:sz w:val="28"/>
          <w:szCs w:val="28"/>
        </w:rPr>
        <w:t>，企业自查结果与污染防治措施要求对照汇总如下：</w:t>
      </w:r>
    </w:p>
    <w:p>
      <w:pPr>
        <w:tabs>
          <w:tab w:val="left" w:pos="757"/>
        </w:tabs>
        <w:spacing w:line="360" w:lineRule="auto"/>
        <w:ind w:firstLine="560" w:firstLineChars="200"/>
        <w:jc w:val="left"/>
        <w:rPr>
          <w:rFonts w:hint="default" w:ascii="Times New Roman" w:hAnsi="Times New Roman" w:cs="Times New Roman"/>
          <w:sz w:val="28"/>
          <w:szCs w:val="28"/>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496"/>
        <w:gridCol w:w="727"/>
        <w:gridCol w:w="225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类别</w:t>
            </w:r>
          </w:p>
        </w:tc>
        <w:tc>
          <w:tcPr>
            <w:tcW w:w="1496"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序号</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是否符合</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不符合情况</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b/>
                <w:bCs/>
                <w:kern w:val="0"/>
                <w:sz w:val="24"/>
              </w:rPr>
              <w:t>整改措施和建议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生产现场</w:t>
            </w:r>
          </w:p>
        </w:tc>
        <w:tc>
          <w:tcPr>
            <w:tcW w:w="1496" w:type="dxa"/>
            <w:noWrap w:val="0"/>
            <w:vAlign w:val="center"/>
          </w:tcPr>
          <w:p>
            <w:pPr>
              <w:adjustRightInd w:val="0"/>
              <w:snapToGrid w:val="0"/>
              <w:jc w:val="center"/>
              <w:rPr>
                <w:rFonts w:hint="default" w:ascii="Times New Roman" w:hAnsi="Times New Roman" w:cs="Times New Roman"/>
                <w:bCs/>
                <w:kern w:val="44"/>
                <w:sz w:val="24"/>
                <w:lang w:val="zh-CN"/>
              </w:rPr>
            </w:pPr>
            <w:r>
              <w:rPr>
                <w:rFonts w:hint="eastAsia" w:cs="Times New Roman"/>
                <w:bCs/>
                <w:kern w:val="44"/>
                <w:sz w:val="24"/>
                <w:lang w:eastAsia="zh-CN"/>
              </w:rPr>
              <w:t>4.2.1</w:t>
            </w:r>
            <w:r>
              <w:rPr>
                <w:rFonts w:hint="default" w:ascii="Times New Roman" w:hAnsi="Times New Roman" w:cs="Times New Roman"/>
                <w:bCs/>
                <w:kern w:val="44"/>
                <w:sz w:val="24"/>
                <w:lang w:val="zh-CN"/>
              </w:rPr>
              <w:t xml:space="preserve">.1.1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 xml:space="preserve">考核指标1 </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lang w:val="zh-CN"/>
              </w:rPr>
            </w:pPr>
            <w:r>
              <w:rPr>
                <w:rFonts w:hint="eastAsia" w:cs="Times New Roman"/>
                <w:bCs/>
                <w:kern w:val="44"/>
                <w:sz w:val="24"/>
                <w:lang w:eastAsia="zh-CN"/>
              </w:rPr>
              <w:t>4.2.1</w:t>
            </w:r>
            <w:r>
              <w:rPr>
                <w:rFonts w:hint="default" w:ascii="Times New Roman" w:hAnsi="Times New Roman" w:cs="Times New Roman"/>
                <w:bCs/>
                <w:kern w:val="44"/>
                <w:sz w:val="24"/>
                <w:lang w:val="zh-CN"/>
              </w:rPr>
              <w:t>.1.</w:t>
            </w:r>
            <w:r>
              <w:rPr>
                <w:rFonts w:hint="default" w:ascii="Times New Roman" w:hAnsi="Times New Roman" w:cs="Times New Roman"/>
                <w:bCs/>
                <w:kern w:val="44"/>
                <w:sz w:val="24"/>
              </w:rPr>
              <w:t>2</w:t>
            </w:r>
            <w:r>
              <w:rPr>
                <w:rFonts w:hint="default" w:ascii="Times New Roman" w:hAnsi="Times New Roman" w:cs="Times New Roman"/>
                <w:bCs/>
                <w:kern w:val="44"/>
                <w:sz w:val="24"/>
                <w:lang w:val="zh-CN"/>
              </w:rPr>
              <w:t xml:space="preserve"> </w:t>
            </w:r>
          </w:p>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lang w:val="zh-CN"/>
              </w:rPr>
              <w:t>考核指标</w:t>
            </w:r>
            <w:r>
              <w:rPr>
                <w:rFonts w:hint="default" w:ascii="Times New Roman" w:hAnsi="Times New Roman" w:cs="Times New Roman"/>
                <w:bCs/>
                <w:kern w:val="44"/>
                <w:sz w:val="24"/>
              </w:rPr>
              <w:t>2</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lang w:val="zh-CN"/>
              </w:rPr>
            </w:pPr>
            <w:r>
              <w:rPr>
                <w:rFonts w:hint="eastAsia" w:cs="Times New Roman"/>
                <w:bCs/>
                <w:kern w:val="44"/>
                <w:sz w:val="24"/>
                <w:lang w:eastAsia="zh-CN"/>
              </w:rPr>
              <w:t>4.2.1</w:t>
            </w:r>
            <w:r>
              <w:rPr>
                <w:rFonts w:hint="default" w:ascii="Times New Roman" w:hAnsi="Times New Roman" w:cs="Times New Roman"/>
                <w:bCs/>
                <w:kern w:val="44"/>
                <w:sz w:val="24"/>
                <w:lang w:val="zh-CN"/>
              </w:rPr>
              <w:t>.1.</w:t>
            </w:r>
            <w:r>
              <w:rPr>
                <w:rFonts w:hint="default" w:ascii="Times New Roman" w:hAnsi="Times New Roman" w:cs="Times New Roman"/>
                <w:bCs/>
                <w:kern w:val="44"/>
                <w:sz w:val="24"/>
              </w:rPr>
              <w:t>3</w:t>
            </w:r>
            <w:r>
              <w:rPr>
                <w:rFonts w:hint="default" w:ascii="Times New Roman" w:hAnsi="Times New Roman" w:cs="Times New Roman"/>
                <w:bCs/>
                <w:kern w:val="44"/>
                <w:sz w:val="24"/>
                <w:lang w:val="zh-CN"/>
              </w:rPr>
              <w:t xml:space="preserve"> </w:t>
            </w:r>
          </w:p>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lang w:val="zh-CN"/>
              </w:rPr>
              <w:t>考核指标</w:t>
            </w:r>
            <w:r>
              <w:rPr>
                <w:rFonts w:hint="default" w:ascii="Times New Roman" w:hAnsi="Times New Roman" w:cs="Times New Roman"/>
                <w:bCs/>
                <w:kern w:val="44"/>
                <w:sz w:val="24"/>
              </w:rPr>
              <w:t>3</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废水收集</w:t>
            </w: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.2.1 </w:t>
            </w:r>
          </w:p>
          <w:p>
            <w:pPr>
              <w:adjustRightInd w:val="0"/>
              <w:snapToGrid w:val="0"/>
              <w:jc w:val="center"/>
              <w:rPr>
                <w:rFonts w:hint="default" w:ascii="Times New Roman" w:hAnsi="Times New Roman" w:cs="Times New Roman"/>
                <w:bCs/>
                <w:kern w:val="44"/>
                <w:sz w:val="24"/>
                <w:lang w:val="zh-CN"/>
              </w:rPr>
            </w:pPr>
            <w:r>
              <w:rPr>
                <w:rFonts w:hint="default" w:ascii="Times New Roman" w:hAnsi="Times New Roman" w:cs="Times New Roman"/>
                <w:bCs/>
                <w:kern w:val="44"/>
                <w:sz w:val="24"/>
              </w:rPr>
              <w:t>考核指标4</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废气收集与处理</w:t>
            </w: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.3.1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考核指标5</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.3.2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考核指标6</w:t>
            </w:r>
          </w:p>
        </w:tc>
        <w:tc>
          <w:tcPr>
            <w:tcW w:w="727" w:type="dxa"/>
            <w:noWrap w:val="0"/>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不涉及</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.3.3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考核指标7</w:t>
            </w:r>
          </w:p>
        </w:tc>
        <w:tc>
          <w:tcPr>
            <w:tcW w:w="727" w:type="dxa"/>
            <w:noWrap w:val="0"/>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不涉及</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tcBorders>
              <w:bottom w:val="single" w:color="auto" w:sz="4" w:space="0"/>
            </w:tcBorders>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.3.4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考核指标8</w:t>
            </w:r>
          </w:p>
        </w:tc>
        <w:tc>
          <w:tcPr>
            <w:tcW w:w="727" w:type="dxa"/>
            <w:tcBorders>
              <w:bottom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tcBorders>
              <w:bottom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tcBorders>
              <w:bottom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tcBorders>
              <w:top w:val="single" w:color="auto" w:sz="4" w:space="0"/>
            </w:tcBorders>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 xml:space="preserve">.3.5 </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考核指标9</w:t>
            </w:r>
          </w:p>
        </w:tc>
        <w:tc>
          <w:tcPr>
            <w:tcW w:w="727"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不涉及</w:t>
            </w:r>
          </w:p>
        </w:tc>
        <w:tc>
          <w:tcPr>
            <w:tcW w:w="2255" w:type="dxa"/>
            <w:tcBorders>
              <w:top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tcBorders>
              <w:top w:val="single" w:color="auto" w:sz="4" w:space="0"/>
            </w:tcBorders>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sz w:val="24"/>
              </w:rPr>
            </w:pPr>
            <w:r>
              <w:rPr>
                <w:rFonts w:hint="eastAsia" w:cs="Times New Roman"/>
                <w:sz w:val="24"/>
                <w:lang w:eastAsia="zh-CN"/>
              </w:rPr>
              <w:t>4.2.1</w:t>
            </w:r>
            <w:r>
              <w:rPr>
                <w:rFonts w:hint="default" w:ascii="Times New Roman" w:hAnsi="Times New Roman" w:cs="Times New Roman"/>
                <w:sz w:val="24"/>
              </w:rPr>
              <w:t xml:space="preserve">.3.6 </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考核指标10</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不涉及</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sz w:val="24"/>
              </w:rPr>
            </w:pPr>
            <w:r>
              <w:rPr>
                <w:rFonts w:hint="eastAsia" w:cs="Times New Roman"/>
                <w:sz w:val="24"/>
                <w:lang w:eastAsia="zh-CN"/>
              </w:rPr>
              <w:t>4.2.1</w:t>
            </w:r>
            <w:r>
              <w:rPr>
                <w:rFonts w:hint="default" w:ascii="Times New Roman" w:hAnsi="Times New Roman" w:cs="Times New Roman"/>
                <w:sz w:val="24"/>
              </w:rPr>
              <w:t xml:space="preserve">.3.7 </w:t>
            </w:r>
          </w:p>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考核指标11</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c>
          <w:tcPr>
            <w:tcW w:w="3045"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lang w:val="zh-CN"/>
              </w:rPr>
            </w:pPr>
            <w:r>
              <w:rPr>
                <w:rFonts w:hint="eastAsia" w:cs="Times New Roman"/>
                <w:bCs/>
                <w:kern w:val="44"/>
                <w:sz w:val="24"/>
                <w:lang w:eastAsia="zh-CN"/>
              </w:rPr>
              <w:t>4.2.1</w:t>
            </w:r>
            <w:r>
              <w:rPr>
                <w:rFonts w:hint="default" w:ascii="Times New Roman" w:hAnsi="Times New Roman" w:cs="Times New Roman"/>
                <w:bCs/>
                <w:kern w:val="44"/>
                <w:sz w:val="24"/>
                <w:lang w:val="zh-CN"/>
              </w:rPr>
              <w:t>.3.</w:t>
            </w:r>
            <w:r>
              <w:rPr>
                <w:rFonts w:hint="default" w:ascii="Times New Roman" w:hAnsi="Times New Roman" w:cs="Times New Roman"/>
                <w:bCs/>
                <w:kern w:val="44"/>
                <w:sz w:val="24"/>
              </w:rPr>
              <w:t>8</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lang w:val="zh-CN"/>
              </w:rPr>
              <w:t>考核指标</w:t>
            </w:r>
            <w:r>
              <w:rPr>
                <w:rFonts w:hint="default" w:ascii="Times New Roman" w:hAnsi="Times New Roman" w:cs="Times New Roman"/>
                <w:bCs/>
                <w:kern w:val="44"/>
                <w:sz w:val="24"/>
              </w:rPr>
              <w:t>12</w:t>
            </w:r>
          </w:p>
        </w:tc>
        <w:tc>
          <w:tcPr>
            <w:tcW w:w="727" w:type="dxa"/>
            <w:noWrap w:val="0"/>
            <w:vAlign w:val="center"/>
          </w:tcPr>
          <w:p>
            <w:pPr>
              <w:adjustRightInd w:val="0"/>
              <w:snapToGrid w:val="0"/>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不涉及</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.3.9</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考核指标13</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.3.10</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考核指标14</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.3.11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考核指标15</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处理设施运维管理</w:t>
            </w:r>
          </w:p>
        </w:tc>
        <w:tc>
          <w:tcPr>
            <w:tcW w:w="1496" w:type="dxa"/>
            <w:noWrap w:val="0"/>
            <w:vAlign w:val="center"/>
          </w:tcPr>
          <w:p>
            <w:pPr>
              <w:adjustRightInd w:val="0"/>
              <w:snapToGrid w:val="0"/>
              <w:jc w:val="center"/>
              <w:rPr>
                <w:rFonts w:hint="eastAsia" w:ascii="Times New Roman" w:hAnsi="Times New Roman" w:eastAsia="宋体" w:cs="Times New Roman"/>
                <w:bCs/>
                <w:kern w:val="44"/>
                <w:sz w:val="24"/>
                <w:lang w:eastAsia="zh-CN"/>
              </w:rPr>
            </w:pPr>
            <w:r>
              <w:rPr>
                <w:rFonts w:hint="eastAsia" w:cs="Times New Roman"/>
                <w:bCs/>
                <w:kern w:val="44"/>
                <w:sz w:val="24"/>
                <w:lang w:eastAsia="zh-CN"/>
              </w:rPr>
              <w:t>4.2.1</w:t>
            </w:r>
            <w:r>
              <w:rPr>
                <w:rFonts w:hint="default" w:ascii="Times New Roman" w:hAnsi="Times New Roman" w:cs="Times New Roman"/>
                <w:bCs/>
                <w:kern w:val="44"/>
                <w:sz w:val="24"/>
              </w:rPr>
              <w:t>.</w:t>
            </w:r>
            <w:r>
              <w:rPr>
                <w:rFonts w:hint="eastAsia" w:cs="Times New Roman"/>
                <w:bCs/>
                <w:kern w:val="44"/>
                <w:sz w:val="24"/>
                <w:lang w:eastAsia="zh-CN"/>
              </w:rPr>
              <w:t>4.2.1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考核指标16</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是</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eastAsia" w:ascii="Times New Roman" w:hAnsi="Times New Roman" w:eastAsia="宋体" w:cs="Times New Roman"/>
                <w:bCs/>
                <w:kern w:val="44"/>
                <w:sz w:val="24"/>
                <w:lang w:eastAsia="zh-CN"/>
              </w:rPr>
            </w:pPr>
            <w:r>
              <w:rPr>
                <w:rFonts w:hint="eastAsia" w:cs="Times New Roman"/>
                <w:bCs/>
                <w:kern w:val="44"/>
                <w:sz w:val="24"/>
                <w:lang w:eastAsia="zh-CN"/>
              </w:rPr>
              <w:t>4.2.1</w:t>
            </w:r>
            <w:r>
              <w:rPr>
                <w:rFonts w:hint="default" w:ascii="Times New Roman" w:hAnsi="Times New Roman" w:cs="Times New Roman"/>
                <w:bCs/>
                <w:kern w:val="44"/>
                <w:sz w:val="24"/>
              </w:rPr>
              <w:t>.</w:t>
            </w:r>
            <w:r>
              <w:rPr>
                <w:rFonts w:hint="eastAsia" w:cs="Times New Roman"/>
                <w:bCs/>
                <w:kern w:val="44"/>
                <w:sz w:val="24"/>
                <w:lang w:eastAsia="zh-CN"/>
              </w:rPr>
              <w:t>4.2.1</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考核指标17</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否</w:t>
            </w:r>
          </w:p>
        </w:tc>
        <w:tc>
          <w:tcPr>
            <w:tcW w:w="2255" w:type="dxa"/>
            <w:noWrap w:val="0"/>
            <w:vAlign w:val="center"/>
          </w:tcPr>
          <w:p>
            <w:pPr>
              <w:adjustRightInd w:val="0"/>
              <w:snapToGrid w:val="0"/>
              <w:rPr>
                <w:rFonts w:hint="default" w:ascii="Times New Roman" w:hAnsi="Times New Roman" w:eastAsia="仿宋" w:cs="Times New Roman"/>
                <w:sz w:val="22"/>
                <w:szCs w:val="22"/>
              </w:rPr>
            </w:pPr>
            <w:r>
              <w:rPr>
                <w:rFonts w:hint="default" w:ascii="Times New Roman" w:hAnsi="Times New Roman" w:eastAsia="仿宋" w:cs="Times New Roman"/>
                <w:sz w:val="22"/>
                <w:szCs w:val="22"/>
              </w:rPr>
              <w:t>项目废气处理设施暂未建有运行监控系统和环保管理信息平台，并设置独立电表</w:t>
            </w:r>
          </w:p>
        </w:tc>
        <w:tc>
          <w:tcPr>
            <w:tcW w:w="3045" w:type="dxa"/>
            <w:noWrap w:val="0"/>
            <w:vAlign w:val="center"/>
          </w:tcPr>
          <w:p>
            <w:pPr>
              <w:adjustRightInd w:val="0"/>
              <w:snapToGrid w:val="0"/>
              <w:rPr>
                <w:rFonts w:hint="default" w:ascii="Times New Roman" w:hAnsi="Times New Roman" w:eastAsia="仿宋" w:cs="Times New Roman"/>
                <w:sz w:val="22"/>
                <w:szCs w:val="22"/>
              </w:rPr>
            </w:pPr>
            <w:r>
              <w:rPr>
                <w:rFonts w:hint="default" w:ascii="Times New Roman" w:hAnsi="Times New Roman" w:eastAsia="仿宋" w:cs="Times New Roman"/>
                <w:sz w:val="22"/>
                <w:szCs w:val="22"/>
              </w:rPr>
              <w:t>建议企业针对废气处理设施，建设运行监控系统和环保管理信息平台，并设置独立电表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noWrap w:val="0"/>
            <w:vAlign w:val="center"/>
          </w:tcPr>
          <w:p>
            <w:pPr>
              <w:adjustRightInd w:val="0"/>
              <w:snapToGrid w:val="0"/>
              <w:jc w:val="center"/>
              <w:rPr>
                <w:rFonts w:hint="default" w:ascii="Times New Roman" w:hAnsi="Times New Roman" w:cs="Times New Roman"/>
                <w:sz w:val="24"/>
              </w:rPr>
            </w:pPr>
          </w:p>
        </w:tc>
        <w:tc>
          <w:tcPr>
            <w:tcW w:w="1496" w:type="dxa"/>
            <w:noWrap w:val="0"/>
            <w:vAlign w:val="center"/>
          </w:tcPr>
          <w:p>
            <w:pPr>
              <w:adjustRightInd w:val="0"/>
              <w:snapToGrid w:val="0"/>
              <w:jc w:val="center"/>
              <w:rPr>
                <w:rFonts w:hint="default" w:ascii="Times New Roman" w:hAnsi="Times New Roman" w:cs="Times New Roman"/>
                <w:bCs/>
                <w:kern w:val="44"/>
                <w:sz w:val="24"/>
              </w:rPr>
            </w:pPr>
            <w:r>
              <w:rPr>
                <w:rFonts w:hint="eastAsia" w:cs="Times New Roman"/>
                <w:bCs/>
                <w:kern w:val="44"/>
                <w:sz w:val="24"/>
                <w:lang w:eastAsia="zh-CN"/>
              </w:rPr>
              <w:t>4.2.1</w:t>
            </w:r>
            <w:r>
              <w:rPr>
                <w:rFonts w:hint="default" w:ascii="Times New Roman" w:hAnsi="Times New Roman" w:cs="Times New Roman"/>
                <w:bCs/>
                <w:kern w:val="44"/>
                <w:sz w:val="24"/>
              </w:rPr>
              <w:t>.4.3</w:t>
            </w:r>
          </w:p>
          <w:p>
            <w:pPr>
              <w:adjustRightInd w:val="0"/>
              <w:snapToGrid w:val="0"/>
              <w:jc w:val="center"/>
              <w:rPr>
                <w:rFonts w:hint="default" w:ascii="Times New Roman" w:hAnsi="Times New Roman" w:cs="Times New Roman"/>
                <w:sz w:val="24"/>
              </w:rPr>
            </w:pPr>
            <w:r>
              <w:rPr>
                <w:rFonts w:hint="default" w:ascii="Times New Roman" w:hAnsi="Times New Roman" w:cs="Times New Roman"/>
                <w:bCs/>
                <w:kern w:val="44"/>
                <w:sz w:val="24"/>
              </w:rPr>
              <w:t>考核指标18</w:t>
            </w:r>
          </w:p>
        </w:tc>
        <w:tc>
          <w:tcPr>
            <w:tcW w:w="727" w:type="dxa"/>
            <w:noWrap w:val="0"/>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不涉及</w:t>
            </w:r>
          </w:p>
        </w:tc>
        <w:tc>
          <w:tcPr>
            <w:tcW w:w="225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c>
          <w:tcPr>
            <w:tcW w:w="3045" w:type="dxa"/>
            <w:noWrap w:val="0"/>
            <w:vAlign w:val="center"/>
          </w:tcPr>
          <w:p>
            <w:pPr>
              <w:adjustRightInd w:val="0"/>
              <w:snapToGrid w:val="0"/>
              <w:jc w:val="center"/>
              <w:rPr>
                <w:rFonts w:hint="default" w:ascii="Times New Roman" w:hAnsi="Times New Roman" w:eastAsia="仿宋" w:cs="Times New Roman"/>
                <w:sz w:val="22"/>
                <w:szCs w:val="22"/>
              </w:rPr>
            </w:pPr>
            <w:r>
              <w:rPr>
                <w:rFonts w:hint="default" w:ascii="Times New Roman" w:hAnsi="Times New Roman" w:eastAsia="仿宋" w:cs="Times New Roman"/>
                <w:sz w:val="22"/>
                <w:szCs w:val="22"/>
              </w:rPr>
              <w:t>/</w:t>
            </w:r>
          </w:p>
        </w:tc>
      </w:tr>
    </w:tbl>
    <w:p>
      <w:pPr>
        <w:adjustRightInd w:val="0"/>
        <w:snapToGrid w:val="0"/>
        <w:spacing w:line="360" w:lineRule="auto"/>
        <w:ind w:firstLine="562" w:firstLineChars="200"/>
        <w:outlineLvl w:val="2"/>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eastAsia" w:cs="Times New Roman"/>
          <w:b/>
          <w:sz w:val="28"/>
          <w:szCs w:val="28"/>
          <w:lang w:val="en-US" w:eastAsia="zh-CN"/>
        </w:rPr>
        <w:t>2.3</w:t>
      </w:r>
      <w:r>
        <w:rPr>
          <w:rFonts w:hint="default" w:ascii="Times New Roman" w:hAnsi="Times New Roman" w:cs="Times New Roman"/>
          <w:b/>
          <w:sz w:val="28"/>
          <w:szCs w:val="28"/>
        </w:rPr>
        <w:t>污染防治措施细化要求整改措施</w:t>
      </w:r>
    </w:p>
    <w:p>
      <w:pPr>
        <w:adjustRightInd w:val="0"/>
        <w:snapToGrid w:val="0"/>
        <w:spacing w:line="360" w:lineRule="auto"/>
        <w:ind w:firstLine="560" w:firstLineChars="200"/>
        <w:rPr>
          <w:rFonts w:hint="default" w:ascii="Times New Roman" w:hAnsi="Times New Roman" w:cs="Times New Roman"/>
          <w:bCs/>
          <w:kern w:val="0"/>
          <w:sz w:val="28"/>
          <w:szCs w:val="28"/>
        </w:rPr>
      </w:pPr>
      <w:r>
        <w:rPr>
          <w:rFonts w:hint="default" w:ascii="Times New Roman" w:hAnsi="Times New Roman" w:cs="Times New Roman"/>
          <w:sz w:val="28"/>
          <w:szCs w:val="28"/>
        </w:rPr>
        <w:t>根据企业自查，对照企业存在的差距、问题和不足，公司按</w:t>
      </w:r>
      <w:r>
        <w:rPr>
          <w:rFonts w:hint="default" w:ascii="Times New Roman" w:hAnsi="Times New Roman" w:cs="Times New Roman"/>
          <w:color w:val="000000"/>
          <w:sz w:val="28"/>
        </w:rPr>
        <w:t>《关于进一步加强电镀行业环境污染防治工作的通知》（温环通[2018]6号）中的《温州市电镀企业污染防治措施细化要求》</w:t>
      </w:r>
      <w:r>
        <w:rPr>
          <w:rFonts w:hint="default" w:ascii="Times New Roman" w:hAnsi="Times New Roman" w:cs="Times New Roman"/>
          <w:bCs/>
          <w:kern w:val="0"/>
          <w:sz w:val="28"/>
          <w:szCs w:val="28"/>
        </w:rPr>
        <w:t>，拟定以下防治措施。</w:t>
      </w:r>
    </w:p>
    <w:p>
      <w:pPr>
        <w:adjustRightInd w:val="0"/>
        <w:snapToGrid w:val="0"/>
        <w:spacing w:line="360" w:lineRule="auto"/>
        <w:ind w:firstLine="560" w:firstLineChars="200"/>
        <w:outlineLvl w:val="2"/>
        <w:rPr>
          <w:rFonts w:hint="default" w:ascii="Times New Roman" w:hAnsi="Times New Roman" w:cs="Times New Roman"/>
          <w:sz w:val="28"/>
          <w:szCs w:val="28"/>
        </w:rPr>
      </w:pPr>
      <w:r>
        <w:rPr>
          <w:rFonts w:hint="default" w:ascii="Times New Roman" w:hAnsi="Times New Roman" w:cs="Times New Roman"/>
          <w:bCs/>
          <w:sz w:val="28"/>
          <w:szCs w:val="28"/>
        </w:rPr>
        <w:t>（1）针对</w:t>
      </w:r>
      <w:r>
        <w:rPr>
          <w:rFonts w:hint="eastAsia" w:cs="Times New Roman"/>
          <w:bCs/>
          <w:sz w:val="28"/>
          <w:szCs w:val="28"/>
          <w:lang w:eastAsia="zh-CN"/>
        </w:rPr>
        <w:t>4.2.1</w:t>
      </w:r>
      <w:r>
        <w:rPr>
          <w:rFonts w:hint="default" w:ascii="Times New Roman" w:hAnsi="Times New Roman" w:cs="Times New Roman"/>
          <w:bCs/>
          <w:sz w:val="28"/>
          <w:szCs w:val="28"/>
        </w:rPr>
        <w:t>.</w:t>
      </w:r>
      <w:r>
        <w:rPr>
          <w:rFonts w:hint="eastAsia" w:cs="Times New Roman"/>
          <w:bCs/>
          <w:sz w:val="28"/>
          <w:szCs w:val="28"/>
          <w:lang w:eastAsia="zh-CN"/>
        </w:rPr>
        <w:t>4.2.1</w:t>
      </w:r>
      <w:r>
        <w:rPr>
          <w:rFonts w:hint="default" w:ascii="Times New Roman" w:hAnsi="Times New Roman" w:cs="Times New Roman"/>
          <w:bCs/>
          <w:sz w:val="28"/>
          <w:szCs w:val="28"/>
        </w:rPr>
        <w:t xml:space="preserve"> 考核指标17</w:t>
      </w:r>
      <w:r>
        <w:rPr>
          <w:rFonts w:hint="default" w:ascii="Times New Roman" w:hAnsi="Times New Roman" w:cs="Times New Roman"/>
          <w:sz w:val="28"/>
          <w:szCs w:val="28"/>
        </w:rPr>
        <w:t>中不符合现象，采取以下整改措施：</w:t>
      </w:r>
    </w:p>
    <w:p>
      <w:pPr>
        <w:adjustRightInd w:val="0"/>
        <w:snapToGrid w:val="0"/>
        <w:spacing w:line="360" w:lineRule="auto"/>
        <w:ind w:firstLine="560" w:firstLineChars="200"/>
        <w:rPr>
          <w:rFonts w:hint="default" w:ascii="Times New Roman" w:hAnsi="Times New Roman" w:cs="Times New Roman"/>
          <w:b/>
          <w:sz w:val="28"/>
          <w:szCs w:val="28"/>
        </w:rPr>
      </w:pPr>
      <w:r>
        <w:rPr>
          <w:rFonts w:hint="default" w:ascii="Times New Roman" w:hAnsi="Times New Roman" w:cs="Times New Roman"/>
          <w:bCs/>
          <w:sz w:val="28"/>
          <w:szCs w:val="28"/>
        </w:rPr>
        <w:t>◎建议企业对废气处理设施建设运行监控系统和环保管理信息平台，并设置独立电表。</w:t>
      </w:r>
    </w:p>
    <w:p>
      <w:pPr>
        <w:adjustRightInd w:val="0"/>
        <w:snapToGrid w:val="0"/>
        <w:spacing w:line="360" w:lineRule="auto"/>
        <w:ind w:firstLine="562" w:firstLineChars="200"/>
        <w:outlineLvl w:val="2"/>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eastAsia" w:cs="Times New Roman"/>
          <w:b/>
          <w:sz w:val="28"/>
          <w:szCs w:val="28"/>
          <w:lang w:val="en-US" w:eastAsia="zh-CN"/>
        </w:rPr>
        <w:t>2.4</w:t>
      </w:r>
      <w:r>
        <w:rPr>
          <w:rFonts w:hint="default" w:ascii="Times New Roman" w:hAnsi="Times New Roman" w:cs="Times New Roman"/>
          <w:b/>
          <w:sz w:val="28"/>
          <w:szCs w:val="28"/>
        </w:rPr>
        <w:t>结论</w:t>
      </w:r>
    </w:p>
    <w:p>
      <w:pPr>
        <w:adjustRightInd w:val="0"/>
        <w:snapToGrid w:val="0"/>
        <w:spacing w:line="360" w:lineRule="auto"/>
        <w:ind w:firstLine="560" w:firstLineChars="200"/>
        <w:outlineLvl w:val="0"/>
        <w:rPr>
          <w:rFonts w:hint="default" w:ascii="Times New Roman" w:hAnsi="Times New Roman" w:cs="Times New Roman"/>
          <w:bCs/>
          <w:sz w:val="28"/>
          <w:szCs w:val="28"/>
        </w:rPr>
      </w:pPr>
      <w:r>
        <w:rPr>
          <w:rFonts w:hint="default" w:ascii="Times New Roman" w:hAnsi="Times New Roman" w:cs="Times New Roman"/>
          <w:bCs/>
          <w:sz w:val="28"/>
          <w:szCs w:val="28"/>
        </w:rPr>
        <w:t>根据</w:t>
      </w:r>
      <w:r>
        <w:rPr>
          <w:rFonts w:hint="default" w:ascii="Times New Roman" w:hAnsi="Times New Roman" w:cs="Times New Roman"/>
          <w:color w:val="000000"/>
          <w:sz w:val="28"/>
        </w:rPr>
        <w:t>《关于进一步加强电镀行业环境污染防治工作的通知》（温环通[2018]6号）中的《温州市电镀企业污染防治措施细化要求》</w:t>
      </w:r>
      <w:r>
        <w:rPr>
          <w:rFonts w:hint="default" w:ascii="Times New Roman" w:hAnsi="Times New Roman" w:cs="Times New Roman"/>
          <w:bCs/>
          <w:sz w:val="28"/>
          <w:szCs w:val="28"/>
        </w:rPr>
        <w:t>，我司组织开展了污染防治措施评估工作。</w:t>
      </w:r>
    </w:p>
    <w:p>
      <w:pPr>
        <w:adjustRightInd w:val="0"/>
        <w:snapToGrid w:val="0"/>
        <w:spacing w:line="360" w:lineRule="auto"/>
        <w:ind w:firstLine="560" w:firstLineChars="200"/>
        <w:outlineLvl w:val="0"/>
        <w:rPr>
          <w:rFonts w:hint="default" w:ascii="Times New Roman" w:hAnsi="Times New Roman" w:cs="Times New Roman"/>
          <w:sz w:val="28"/>
          <w:szCs w:val="28"/>
        </w:rPr>
      </w:pPr>
      <w:r>
        <w:rPr>
          <w:rFonts w:hint="default" w:ascii="Times New Roman" w:hAnsi="Times New Roman" w:cs="Times New Roman"/>
          <w:bCs/>
          <w:sz w:val="28"/>
          <w:szCs w:val="28"/>
        </w:rPr>
        <w:t>对照</w:t>
      </w:r>
      <w:r>
        <w:rPr>
          <w:rFonts w:hint="default" w:ascii="Times New Roman" w:hAnsi="Times New Roman" w:cs="Times New Roman"/>
          <w:color w:val="000000"/>
          <w:sz w:val="28"/>
        </w:rPr>
        <w:t>《温州市电镀企业污染防治措施细化要求》</w:t>
      </w:r>
      <w:r>
        <w:rPr>
          <w:rFonts w:hint="default" w:ascii="Times New Roman" w:hAnsi="Times New Roman" w:cs="Times New Roman"/>
          <w:sz w:val="28"/>
          <w:szCs w:val="28"/>
        </w:rPr>
        <w:t>中各个考核指标，企业逐一进行自查。自查结果表明，企业已基本完成考核指标中生产现场、废水收集、废气收集与处理等要求。主要问题存在于运行监控系统和环保管理信息平台方面，通过此次防治措施评估工作，按照相关要求落实不足之处。</w:t>
      </w:r>
    </w:p>
    <w:p>
      <w:pPr>
        <w:tabs>
          <w:tab w:val="left" w:pos="757"/>
        </w:tabs>
        <w:spacing w:line="360" w:lineRule="auto"/>
        <w:ind w:firstLine="560" w:firstLineChars="200"/>
        <w:jc w:val="left"/>
        <w:rPr>
          <w:rFonts w:hint="eastAsia" w:ascii="Times New Roman" w:hAnsi="Times New Roman" w:eastAsia="宋体" w:cs="Times New Roman"/>
          <w:bCs/>
          <w:sz w:val="28"/>
          <w:szCs w:val="28"/>
          <w:lang w:eastAsia="zh-CN"/>
        </w:rPr>
      </w:pPr>
      <w:r>
        <w:rPr>
          <w:rFonts w:hint="default" w:ascii="Times New Roman" w:hAnsi="Times New Roman" w:cs="Times New Roman"/>
          <w:sz w:val="28"/>
          <w:szCs w:val="28"/>
        </w:rPr>
        <w:t>在自查过程中，通过发现厂</w:t>
      </w:r>
      <w:r>
        <w:rPr>
          <w:rFonts w:hint="default" w:ascii="Times New Roman" w:hAnsi="Times New Roman" w:cs="Times New Roman"/>
          <w:bCs/>
          <w:sz w:val="28"/>
          <w:szCs w:val="28"/>
        </w:rPr>
        <w:t>内存在的问题和不足，逐一整改、落实，完成了相关文件要求，达到做好对应污染物防治措施目的，取得一定成效。</w:t>
      </w:r>
    </w:p>
    <w:p>
      <w:pPr>
        <w:pStyle w:val="97"/>
        <w:spacing w:beforeLines="0" w:afterLines="0"/>
        <w:rPr>
          <w:rFonts w:hint="default" w:ascii="Times New Roman" w:hAnsi="Times New Roman" w:cs="Times New Roman"/>
        </w:rPr>
      </w:pPr>
      <w:r>
        <w:rPr>
          <w:rFonts w:hint="default" w:ascii="Times New Roman" w:hAnsi="Times New Roman" w:cs="Times New Roman"/>
          <w:color w:val="000000"/>
          <w:sz w:val="28"/>
        </w:rPr>
        <w:br w:type="page"/>
      </w:r>
      <w:bookmarkStart w:id="164" w:name="_Toc2867131"/>
      <w:bookmarkStart w:id="165" w:name="_Toc523410787"/>
      <w:r>
        <w:rPr>
          <w:rFonts w:hint="default" w:ascii="Times New Roman" w:hAnsi="Times New Roman" w:cs="Times New Roman"/>
        </w:rPr>
        <w:t>5 环境保护设施情况</w:t>
      </w:r>
      <w:bookmarkEnd w:id="164"/>
      <w:bookmarkEnd w:id="165"/>
    </w:p>
    <w:p>
      <w:pPr>
        <w:pStyle w:val="34"/>
        <w:spacing w:beforeLines="0"/>
        <w:rPr>
          <w:rFonts w:hint="default" w:ascii="Times New Roman" w:hAnsi="Times New Roman" w:eastAsia="楷体_GB2312" w:cs="Times New Roman"/>
          <w:szCs w:val="28"/>
        </w:rPr>
      </w:pPr>
      <w:bookmarkStart w:id="166" w:name="_Toc2867132"/>
      <w:bookmarkStart w:id="167" w:name="_Toc523410788"/>
      <w:r>
        <w:rPr>
          <w:rFonts w:hint="default" w:ascii="Times New Roman" w:hAnsi="Times New Roman" w:cs="Times New Roman"/>
        </w:rPr>
        <w:t>5.1 污染物治理/处理设施</w:t>
      </w:r>
      <w:bookmarkEnd w:id="166"/>
      <w:bookmarkEnd w:id="167"/>
    </w:p>
    <w:p>
      <w:pPr>
        <w:pStyle w:val="5"/>
        <w:rPr>
          <w:rFonts w:hint="default" w:ascii="Times New Roman" w:hAnsi="Times New Roman" w:cs="Times New Roman"/>
        </w:rPr>
      </w:pPr>
      <w:r>
        <w:rPr>
          <w:rFonts w:hint="default" w:ascii="Times New Roman" w:hAnsi="Times New Roman" w:cs="Times New Roman"/>
        </w:rPr>
        <w:t>5.1.1 废水</w:t>
      </w:r>
    </w:p>
    <w:p>
      <w:pPr>
        <w:autoSpaceDE w:val="0"/>
        <w:autoSpaceDN w:val="0"/>
        <w:adjustRightInd w:val="0"/>
        <w:spacing w:line="360" w:lineRule="auto"/>
        <w:ind w:firstLine="560" w:firstLineChars="200"/>
        <w:rPr>
          <w:rFonts w:hint="default" w:ascii="Times New Roman" w:hAnsi="Times New Roman" w:cs="Times New Roman"/>
          <w:sz w:val="28"/>
        </w:rPr>
      </w:pPr>
      <w:r>
        <w:rPr>
          <w:rFonts w:hint="eastAsia" w:cs="Times New Roman"/>
          <w:color w:val="000000" w:themeColor="text1"/>
          <w:sz w:val="28"/>
          <w:lang w:eastAsia="zh-CN"/>
          <w14:textFill>
            <w14:solidFill>
              <w14:schemeClr w14:val="tx1"/>
            </w14:solidFill>
          </w14:textFill>
        </w:rPr>
        <w:t>改建</w:t>
      </w:r>
      <w:r>
        <w:rPr>
          <w:rFonts w:hint="default" w:ascii="Times New Roman" w:hAnsi="Times New Roman" w:cs="Times New Roman"/>
          <w:color w:val="000000" w:themeColor="text1"/>
          <w:sz w:val="28"/>
          <w14:textFill>
            <w14:solidFill>
              <w14:schemeClr w14:val="tx1"/>
            </w14:solidFill>
          </w14:textFill>
        </w:rPr>
        <w:t>项目及迁建整合提升项目</w:t>
      </w:r>
      <w:r>
        <w:rPr>
          <w:rFonts w:hint="eastAsia" w:cs="Times New Roman"/>
          <w:color w:val="000000" w:themeColor="text1"/>
          <w:sz w:val="28"/>
          <w:lang w:eastAsia="zh-CN"/>
          <w14:textFill>
            <w14:solidFill>
              <w14:schemeClr w14:val="tx1"/>
            </w14:solidFill>
          </w14:textFill>
        </w:rPr>
        <w:t>中的一车间</w:t>
      </w:r>
      <w:r>
        <w:rPr>
          <w:rFonts w:hint="eastAsia" w:cs="Times New Roman"/>
          <w:color w:val="000000" w:themeColor="text1"/>
          <w:sz w:val="28"/>
          <w:lang w:val="en-US" w:eastAsia="zh-CN"/>
          <w14:textFill>
            <w14:solidFill>
              <w14:schemeClr w14:val="tx1"/>
            </w14:solidFill>
          </w14:textFill>
        </w:rPr>
        <w:t>2F自动喷漆车间</w:t>
      </w:r>
      <w:r>
        <w:rPr>
          <w:rFonts w:hint="eastAsia" w:cs="Times New Roman"/>
          <w:color w:val="000000" w:themeColor="text1"/>
          <w:sz w:val="28"/>
          <w:lang w:eastAsia="zh-CN"/>
          <w14:textFill>
            <w14:solidFill>
              <w14:schemeClr w14:val="tx1"/>
            </w14:solidFill>
          </w14:textFill>
        </w:rPr>
        <w:t>项目</w:t>
      </w:r>
      <w:r>
        <w:rPr>
          <w:rFonts w:hint="default" w:ascii="Times New Roman" w:hAnsi="Times New Roman" w:cs="Times New Roman"/>
          <w:color w:val="000000" w:themeColor="text1"/>
          <w:sz w:val="28"/>
          <w14:textFill>
            <w14:solidFill>
              <w14:schemeClr w14:val="tx1"/>
            </w14:solidFill>
          </w14:textFill>
        </w:rPr>
        <w:t>废水主要为</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14:textFill>
            <w14:solidFill>
              <w14:schemeClr w14:val="tx1"/>
            </w14:solidFill>
          </w14:textFill>
        </w:rPr>
        <w:t>电镀生产废水、废气处理喷淋塔废水和员工生活污水，其中生活污水经化粪池处理达到《污水综合排放标准》( GB8978-1996)三级标准后纳管排放；</w:t>
      </w:r>
      <w:r>
        <w:rPr>
          <w:rFonts w:hint="eastAsia" w:ascii="Times New Roman" w:hAnsi="Times New Roman" w:cs="Times New Roman"/>
          <w:color w:val="000000" w:themeColor="text1"/>
          <w:sz w:val="28"/>
          <w:lang w:eastAsia="zh-CN"/>
          <w14:textFill>
            <w14:solidFill>
              <w14:schemeClr w14:val="tx1"/>
            </w14:solidFill>
          </w14:textFill>
        </w:rPr>
        <w:t>前处理废水、清洗废水、</w:t>
      </w:r>
      <w:r>
        <w:rPr>
          <w:rFonts w:hint="default" w:ascii="Times New Roman" w:hAnsi="Times New Roman" w:cs="Times New Roman"/>
          <w:color w:val="000000" w:themeColor="text1"/>
          <w:sz w:val="28"/>
          <w14:textFill>
            <w14:solidFill>
              <w14:schemeClr w14:val="tx1"/>
            </w14:solidFill>
          </w14:textFill>
        </w:rPr>
        <w:t>电镀生产废水、废气处理喷淋塔废水按前处理废水、含镍废水、含铬废水和混排废水等</w:t>
      </w:r>
      <w:r>
        <w:rPr>
          <w:rFonts w:hint="eastAsia" w:ascii="Times New Roman" w:hAnsi="Times New Roman" w:cs="Times New Roman"/>
          <w:color w:val="000000" w:themeColor="text1"/>
          <w:sz w:val="28"/>
          <w:lang w:eastAsia="zh-CN"/>
          <w14:textFill>
            <w14:solidFill>
              <w14:schemeClr w14:val="tx1"/>
            </w14:solidFill>
          </w14:textFill>
        </w:rPr>
        <w:t>四</w:t>
      </w:r>
      <w:r>
        <w:rPr>
          <w:rFonts w:hint="default" w:ascii="Times New Roman" w:hAnsi="Times New Roman" w:cs="Times New Roman"/>
          <w:color w:val="000000" w:themeColor="text1"/>
          <w:sz w:val="28"/>
          <w14:textFill>
            <w14:solidFill>
              <w14:schemeClr w14:val="tx1"/>
            </w14:solidFill>
          </w14:textFill>
        </w:rPr>
        <w:t>股分别收集后纳入基地污水处理站集中处理处理达到《电镀污染物排放标准》(GB21900-2008)表2中的排放限值后排入</w:t>
      </w:r>
      <w:r>
        <w:rPr>
          <w:rFonts w:hint="eastAsia" w:ascii="Times New Roman" w:hAnsi="Times New Roman" w:cs="Times New Roman"/>
          <w:color w:val="000000" w:themeColor="text1"/>
          <w:sz w:val="28"/>
          <w:lang w:eastAsia="zh-CN"/>
          <w14:textFill>
            <w14:solidFill>
              <w14:schemeClr w14:val="tx1"/>
            </w14:solidFill>
          </w14:textFill>
        </w:rPr>
        <w:t>平阳县东海</w:t>
      </w:r>
      <w:r>
        <w:rPr>
          <w:rFonts w:hint="default" w:ascii="Times New Roman" w:hAnsi="Times New Roman" w:cs="Times New Roman"/>
          <w:color w:val="000000" w:themeColor="text1"/>
          <w:sz w:val="28"/>
          <w14:textFill>
            <w14:solidFill>
              <w14:schemeClr w14:val="tx1"/>
            </w14:solidFill>
          </w14:textFill>
        </w:rPr>
        <w:t>污水处理厂处理达到《城镇污水处理厂污染物排放标准》（GB18918-2002）一级标准中的A标准后排放</w:t>
      </w:r>
      <w:r>
        <w:rPr>
          <w:rFonts w:hint="default" w:ascii="Times New Roman" w:hAnsi="Times New Roman" w:cs="Times New Roman"/>
          <w:color w:val="000000"/>
          <w:sz w:val="28"/>
          <w:szCs w:val="28"/>
        </w:rPr>
        <w:t>。</w:t>
      </w:r>
      <w:r>
        <w:rPr>
          <w:rFonts w:hint="default" w:ascii="Times New Roman" w:hAnsi="Times New Roman" w:cs="Times New Roman"/>
          <w:sz w:val="28"/>
        </w:rPr>
        <w:t>废水来源及处理见表5-1。</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表5-1  废水来源及处理方式一览表</w:t>
      </w:r>
    </w:p>
    <w:tbl>
      <w:tblPr>
        <w:tblStyle w:val="37"/>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2058"/>
        <w:gridCol w:w="1114"/>
        <w:gridCol w:w="1106"/>
        <w:gridCol w:w="135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7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污水来源</w:t>
            </w:r>
          </w:p>
        </w:tc>
        <w:tc>
          <w:tcPr>
            <w:tcW w:w="205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主要污染因子</w:t>
            </w:r>
          </w:p>
        </w:tc>
        <w:tc>
          <w:tcPr>
            <w:tcW w:w="11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排放方式</w:t>
            </w:r>
          </w:p>
        </w:tc>
        <w:tc>
          <w:tcPr>
            <w:tcW w:w="11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处理设施</w:t>
            </w:r>
          </w:p>
        </w:tc>
        <w:tc>
          <w:tcPr>
            <w:tcW w:w="135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污水处理厂</w:t>
            </w:r>
          </w:p>
        </w:tc>
        <w:tc>
          <w:tcPr>
            <w:tcW w:w="12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rPr>
                <w:rFonts w:hint="default" w:ascii="Times New Roman" w:hAnsi="Times New Roman" w:cs="Times New Roman"/>
              </w:rPr>
            </w:pPr>
            <w:r>
              <w:rPr>
                <w:rFonts w:hint="default" w:ascii="Times New Roman" w:hAnsi="Times New Roman" w:cs="Times New Roman"/>
              </w:rPr>
              <w:t>生活污水</w:t>
            </w:r>
          </w:p>
        </w:tc>
        <w:tc>
          <w:tcPr>
            <w:tcW w:w="205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化学需氧量、氨氮等</w:t>
            </w:r>
          </w:p>
        </w:tc>
        <w:tc>
          <w:tcPr>
            <w:tcW w:w="11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1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化粪池</w:t>
            </w:r>
          </w:p>
        </w:tc>
        <w:tc>
          <w:tcPr>
            <w:tcW w:w="135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平阳县东海污水处理厂</w:t>
            </w:r>
          </w:p>
        </w:tc>
        <w:tc>
          <w:tcPr>
            <w:tcW w:w="12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rPr>
                <w:rFonts w:hint="eastAsia" w:ascii="Times New Roman" w:hAnsi="Times New Roman" w:eastAsia="宋体" w:cs="Times New Roman"/>
                <w:lang w:eastAsia="zh-CN"/>
              </w:rPr>
            </w:pPr>
            <w:r>
              <w:rPr>
                <w:rFonts w:hint="eastAsia" w:cs="Times New Roman"/>
                <w:lang w:eastAsia="zh-CN"/>
              </w:rPr>
              <w:t>前处理废水</w:t>
            </w:r>
          </w:p>
        </w:tc>
        <w:tc>
          <w:tcPr>
            <w:tcW w:w="205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化学需氧量、氨氮等</w:t>
            </w:r>
          </w:p>
        </w:tc>
        <w:tc>
          <w:tcPr>
            <w:tcW w:w="11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1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基地污水处理站</w:t>
            </w:r>
          </w:p>
        </w:tc>
        <w:tc>
          <w:tcPr>
            <w:tcW w:w="1357" w:type="dxa"/>
            <w:vMerge w:val="continue"/>
            <w:vAlign w:val="center"/>
          </w:tcPr>
          <w:p>
            <w:pPr>
              <w:jc w:val="center"/>
              <w:rPr>
                <w:rFonts w:hint="default" w:ascii="Times New Roman" w:hAnsi="Times New Roman" w:cs="Times New Roman"/>
                <w:szCs w:val="21"/>
              </w:rPr>
            </w:pPr>
          </w:p>
        </w:tc>
        <w:tc>
          <w:tcPr>
            <w:tcW w:w="12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rPr>
                <w:rFonts w:hint="default" w:ascii="Times New Roman" w:hAnsi="Times New Roman" w:cs="Times New Roman"/>
              </w:rPr>
            </w:pPr>
            <w:r>
              <w:rPr>
                <w:rFonts w:hint="eastAsia" w:cs="Times New Roman"/>
                <w:lang w:eastAsia="zh-CN"/>
              </w:rPr>
              <w:t>清洗</w:t>
            </w:r>
            <w:r>
              <w:rPr>
                <w:rFonts w:hint="default" w:ascii="Times New Roman" w:hAnsi="Times New Roman" w:cs="Times New Roman"/>
              </w:rPr>
              <w:t>废水</w:t>
            </w:r>
          </w:p>
        </w:tc>
        <w:tc>
          <w:tcPr>
            <w:tcW w:w="205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化学需氧量、氨氮等</w:t>
            </w:r>
          </w:p>
        </w:tc>
        <w:tc>
          <w:tcPr>
            <w:tcW w:w="11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106" w:type="dxa"/>
            <w:vMerge w:val="continue"/>
            <w:vAlign w:val="center"/>
          </w:tcPr>
          <w:p>
            <w:pPr>
              <w:jc w:val="center"/>
              <w:rPr>
                <w:rFonts w:hint="default" w:ascii="Times New Roman" w:hAnsi="Times New Roman" w:cs="Times New Roman"/>
                <w:szCs w:val="21"/>
              </w:rPr>
            </w:pPr>
          </w:p>
        </w:tc>
        <w:tc>
          <w:tcPr>
            <w:tcW w:w="1357" w:type="dxa"/>
            <w:vMerge w:val="continue"/>
            <w:vAlign w:val="center"/>
          </w:tcPr>
          <w:p>
            <w:pPr>
              <w:jc w:val="center"/>
              <w:rPr>
                <w:rFonts w:hint="default" w:ascii="Times New Roman" w:hAnsi="Times New Roman" w:cs="Times New Roman"/>
                <w:szCs w:val="21"/>
              </w:rPr>
            </w:pPr>
          </w:p>
        </w:tc>
        <w:tc>
          <w:tcPr>
            <w:tcW w:w="12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rPr>
                <w:rFonts w:hint="default" w:ascii="Times New Roman" w:hAnsi="Times New Roman" w:cs="Times New Roman"/>
              </w:rPr>
            </w:pPr>
            <w:r>
              <w:rPr>
                <w:rFonts w:hint="default" w:ascii="Times New Roman" w:hAnsi="Times New Roman" w:cs="Times New Roman"/>
              </w:rPr>
              <w:t>废气处理喷淋塔废水</w:t>
            </w:r>
          </w:p>
        </w:tc>
        <w:tc>
          <w:tcPr>
            <w:tcW w:w="205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化学需氧量、氨氮等</w:t>
            </w:r>
          </w:p>
        </w:tc>
        <w:tc>
          <w:tcPr>
            <w:tcW w:w="11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间歇</w:t>
            </w:r>
          </w:p>
        </w:tc>
        <w:tc>
          <w:tcPr>
            <w:tcW w:w="1106" w:type="dxa"/>
            <w:vMerge w:val="continue"/>
            <w:vAlign w:val="center"/>
          </w:tcPr>
          <w:p>
            <w:pPr>
              <w:jc w:val="center"/>
              <w:rPr>
                <w:rFonts w:hint="default" w:ascii="Times New Roman" w:hAnsi="Times New Roman" w:cs="Times New Roman"/>
                <w:szCs w:val="21"/>
              </w:rPr>
            </w:pPr>
          </w:p>
        </w:tc>
        <w:tc>
          <w:tcPr>
            <w:tcW w:w="1357" w:type="dxa"/>
            <w:vMerge w:val="continue"/>
            <w:vAlign w:val="center"/>
          </w:tcPr>
          <w:p>
            <w:pPr>
              <w:jc w:val="center"/>
              <w:rPr>
                <w:rFonts w:hint="default" w:ascii="Times New Roman" w:hAnsi="Times New Roman" w:cs="Times New Roman"/>
                <w:szCs w:val="21"/>
              </w:rPr>
            </w:pPr>
          </w:p>
        </w:tc>
        <w:tc>
          <w:tcPr>
            <w:tcW w:w="1220"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578" w:type="dxa"/>
            <w:vAlign w:val="center"/>
          </w:tcPr>
          <w:p>
            <w:pPr>
              <w:jc w:val="center"/>
              <w:rPr>
                <w:rFonts w:hint="eastAsia" w:ascii="Times New Roman" w:hAnsi="Times New Roman" w:eastAsia="宋体" w:cs="Times New Roman"/>
                <w:lang w:eastAsia="zh-CN"/>
              </w:rPr>
            </w:pPr>
            <w:r>
              <w:rPr>
                <w:rFonts w:hint="eastAsia" w:cs="Times New Roman"/>
                <w:lang w:eastAsia="zh-CN"/>
              </w:rPr>
              <w:t>电镀生产废水</w:t>
            </w:r>
          </w:p>
        </w:tc>
        <w:tc>
          <w:tcPr>
            <w:tcW w:w="2058"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化学需氧量、氨氮等</w:t>
            </w:r>
          </w:p>
        </w:tc>
        <w:tc>
          <w:tcPr>
            <w:tcW w:w="1114" w:type="dxa"/>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间歇</w:t>
            </w:r>
          </w:p>
        </w:tc>
        <w:tc>
          <w:tcPr>
            <w:tcW w:w="1106" w:type="dxa"/>
            <w:vMerge w:val="continue"/>
            <w:vAlign w:val="center"/>
          </w:tcPr>
          <w:p>
            <w:pPr>
              <w:jc w:val="center"/>
              <w:rPr>
                <w:rFonts w:hint="default" w:ascii="Times New Roman" w:hAnsi="Times New Roman" w:cs="Times New Roman"/>
                <w:szCs w:val="21"/>
              </w:rPr>
            </w:pPr>
          </w:p>
        </w:tc>
        <w:tc>
          <w:tcPr>
            <w:tcW w:w="1357" w:type="dxa"/>
            <w:vMerge w:val="continue"/>
            <w:vAlign w:val="center"/>
          </w:tcPr>
          <w:p>
            <w:pPr>
              <w:jc w:val="center"/>
              <w:rPr>
                <w:rFonts w:hint="default" w:ascii="Times New Roman" w:hAnsi="Times New Roman" w:cs="Times New Roman"/>
                <w:szCs w:val="21"/>
              </w:rPr>
            </w:pPr>
          </w:p>
        </w:tc>
        <w:tc>
          <w:tcPr>
            <w:tcW w:w="122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环境</w:t>
            </w:r>
          </w:p>
        </w:tc>
      </w:tr>
    </w:tbl>
    <w:p>
      <w:pPr>
        <w:pStyle w:val="5"/>
        <w:rPr>
          <w:rFonts w:hint="default" w:ascii="Times New Roman" w:hAnsi="Times New Roman" w:cs="Times New Roman"/>
          <w:sz w:val="10"/>
          <w:szCs w:val="1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780" w:type="dxa"/>
            <w:vAlign w:val="center"/>
          </w:tcPr>
          <w:p>
            <w:pPr>
              <w:jc w:val="center"/>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780" w:type="dxa"/>
            <w:vAlign w:val="center"/>
          </w:tcPr>
          <w:p>
            <w:pPr>
              <w:jc w:val="center"/>
              <w:rPr>
                <w:rFonts w:hint="eastAsia" w:ascii="Times New Roman" w:hAnsi="Times New Roman" w:eastAsia="宋体" w:cs="Times New Roman"/>
                <w:lang w:val="en-US" w:eastAsia="zh-CN"/>
              </w:rPr>
            </w:pPr>
            <w:r>
              <w:rPr>
                <w:rFonts w:hint="default" w:ascii="Times New Roman" w:hAnsi="Times New Roman" w:cs="Times New Roman"/>
              </w:rPr>
              <w:t>生产废</w:t>
            </w:r>
            <w:r>
              <w:rPr>
                <w:rFonts w:hint="default" w:ascii="Times New Roman" w:hAnsi="Times New Roman" w:cs="Times New Roman"/>
                <w:color w:val="auto"/>
              </w:rPr>
              <w:t>水储存罐</w:t>
            </w:r>
            <w:r>
              <w:rPr>
                <w:rFonts w:hint="eastAsia" w:cs="Times New Roman"/>
                <w:color w:val="auto"/>
                <w:lang w:eastAsia="zh-CN"/>
              </w:rPr>
              <w:t>加盖密闭</w:t>
            </w:r>
          </w:p>
        </w:tc>
      </w:tr>
    </w:tbl>
    <w:p>
      <w:pPr>
        <w:pStyle w:val="5"/>
        <w:rPr>
          <w:rFonts w:hint="default" w:ascii="Times New Roman" w:hAnsi="Times New Roman" w:cs="Times New Roman"/>
        </w:rPr>
      </w:pPr>
      <w:r>
        <w:rPr>
          <w:rFonts w:hint="default" w:ascii="Times New Roman" w:hAnsi="Times New Roman" w:cs="Times New Roman"/>
        </w:rPr>
        <w:t>5.1.2 废气</w:t>
      </w:r>
    </w:p>
    <w:p>
      <w:pPr>
        <w:autoSpaceDE w:val="0"/>
        <w:autoSpaceDN w:val="0"/>
        <w:adjustRightInd w:val="0"/>
        <w:spacing w:line="360" w:lineRule="auto"/>
        <w:ind w:firstLine="560" w:firstLineChars="200"/>
        <w:rPr>
          <w:rFonts w:hint="default" w:ascii="Times New Roman" w:hAnsi="Times New Roman" w:cs="Times New Roman"/>
          <w:color w:val="000000" w:themeColor="text1"/>
          <w:sz w:val="28"/>
          <w14:textFill>
            <w14:solidFill>
              <w14:schemeClr w14:val="tx1"/>
            </w14:solidFill>
          </w14:textFill>
        </w:rPr>
      </w:pPr>
      <w:r>
        <w:rPr>
          <w:rFonts w:hint="eastAsia" w:cs="Times New Roman"/>
          <w:color w:val="000000" w:themeColor="text1"/>
          <w:sz w:val="28"/>
          <w:lang w:eastAsia="zh-CN"/>
          <w14:textFill>
            <w14:solidFill>
              <w14:schemeClr w14:val="tx1"/>
            </w14:solidFill>
          </w14:textFill>
        </w:rPr>
        <w:t>改建</w:t>
      </w:r>
      <w:r>
        <w:rPr>
          <w:rFonts w:hint="default" w:ascii="Times New Roman" w:hAnsi="Times New Roman" w:cs="Times New Roman"/>
          <w:color w:val="000000" w:themeColor="text1"/>
          <w:sz w:val="28"/>
          <w14:textFill>
            <w14:solidFill>
              <w14:schemeClr w14:val="tx1"/>
            </w14:solidFill>
          </w14:textFill>
        </w:rPr>
        <w:t>项目及迁建整合提升项目中的</w:t>
      </w:r>
      <w:r>
        <w:rPr>
          <w:rFonts w:hint="eastAsia" w:cs="Times New Roman"/>
          <w:color w:val="000000" w:themeColor="text1"/>
          <w:sz w:val="28"/>
          <w:lang w:eastAsia="zh-CN"/>
          <w14:textFill>
            <w14:solidFill>
              <w14:schemeClr w14:val="tx1"/>
            </w14:solidFill>
          </w14:textFill>
        </w:rPr>
        <w:t>一车间</w:t>
      </w:r>
      <w:r>
        <w:rPr>
          <w:rFonts w:hint="eastAsia" w:cs="Times New Roman"/>
          <w:color w:val="000000" w:themeColor="text1"/>
          <w:sz w:val="28"/>
          <w:lang w:val="en-US" w:eastAsia="zh-CN"/>
          <w14:textFill>
            <w14:solidFill>
              <w14:schemeClr w14:val="tx1"/>
            </w14:solidFill>
          </w14:textFill>
        </w:rPr>
        <w:t>2F自动</w:t>
      </w:r>
      <w:r>
        <w:rPr>
          <w:rFonts w:hint="default" w:ascii="Times New Roman" w:hAnsi="Times New Roman" w:cs="Times New Roman"/>
          <w:color w:val="000000" w:themeColor="text1"/>
          <w:sz w:val="28"/>
          <w14:textFill>
            <w14:solidFill>
              <w14:schemeClr w14:val="tx1"/>
            </w14:solidFill>
          </w14:textFill>
        </w:rPr>
        <w:t>喷漆工序产生的废气主要为</w:t>
      </w:r>
      <w:r>
        <w:rPr>
          <w:rFonts w:hint="eastAsia" w:ascii="Times New Roman" w:hAnsi="Times New Roman" w:cs="Times New Roman"/>
          <w:color w:val="000000" w:themeColor="text1"/>
          <w:sz w:val="28"/>
          <w:lang w:eastAsia="zh-CN"/>
          <w14:textFill>
            <w14:solidFill>
              <w14:schemeClr w14:val="tx1"/>
            </w14:solidFill>
          </w14:textFill>
        </w:rPr>
        <w:t>前处理、镀镍、镀铬、喷漆、烘干、除油、除蜡</w:t>
      </w:r>
      <w:r>
        <w:rPr>
          <w:rFonts w:hint="default" w:ascii="Times New Roman" w:hAnsi="Times New Roman" w:cs="Times New Roman"/>
          <w:color w:val="000000" w:themeColor="text1"/>
          <w:sz w:val="28"/>
          <w14:textFill>
            <w14:solidFill>
              <w14:schemeClr w14:val="tx1"/>
            </w14:solidFill>
          </w14:textFill>
        </w:rPr>
        <w:t>废气。</w:t>
      </w:r>
    </w:p>
    <w:p>
      <w:pPr>
        <w:autoSpaceDE w:val="0"/>
        <w:autoSpaceDN w:val="0"/>
        <w:adjustRightInd w:val="0"/>
        <w:spacing w:line="360" w:lineRule="auto"/>
        <w:ind w:firstLine="560" w:firstLineChars="200"/>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项目</w:t>
      </w:r>
      <w:r>
        <w:rPr>
          <w:rFonts w:hint="eastAsia" w:ascii="Times New Roman" w:hAnsi="Times New Roman" w:cs="Times New Roman"/>
          <w:color w:val="000000" w:themeColor="text1"/>
          <w:sz w:val="28"/>
          <w:lang w:eastAsia="zh-CN"/>
          <w14:textFill>
            <w14:solidFill>
              <w14:schemeClr w14:val="tx1"/>
            </w14:solidFill>
          </w14:textFill>
        </w:rPr>
        <w:t>二车间</w:t>
      </w:r>
      <w:r>
        <w:rPr>
          <w:rFonts w:hint="eastAsia" w:ascii="Times New Roman" w:hAnsi="Times New Roman" w:cs="Times New Roman"/>
          <w:color w:val="000000" w:themeColor="text1"/>
          <w:sz w:val="28"/>
          <w:lang w:val="en-US" w:eastAsia="zh-CN"/>
          <w14:textFill>
            <w14:solidFill>
              <w14:schemeClr w14:val="tx1"/>
            </w14:solidFill>
          </w14:textFill>
        </w:rPr>
        <w:t>3F前处理、镀镍</w:t>
      </w:r>
      <w:r>
        <w:rPr>
          <w:rFonts w:hint="default" w:ascii="Times New Roman" w:hAnsi="Times New Roman" w:cs="Times New Roman"/>
          <w:color w:val="000000" w:themeColor="text1"/>
          <w:sz w:val="28"/>
          <w14:textFill>
            <w14:solidFill>
              <w14:schemeClr w14:val="tx1"/>
            </w14:solidFill>
          </w14:textFill>
        </w:rPr>
        <w:t>过程中会产生一定量的</w:t>
      </w:r>
      <w:r>
        <w:rPr>
          <w:rFonts w:hint="eastAsia" w:ascii="Times New Roman" w:hAnsi="Times New Roman" w:cs="Times New Roman"/>
          <w:color w:val="000000" w:themeColor="text1"/>
          <w:sz w:val="28"/>
          <w:lang w:eastAsia="zh-CN"/>
          <w14:textFill>
            <w14:solidFill>
              <w14:schemeClr w14:val="tx1"/>
            </w14:solidFill>
          </w14:textFill>
        </w:rPr>
        <w:t>硫酸雾、氯化氢</w:t>
      </w:r>
      <w:r>
        <w:rPr>
          <w:rFonts w:hint="default" w:ascii="Times New Roman" w:hAnsi="Times New Roman" w:cs="Times New Roman"/>
          <w:color w:val="000000" w:themeColor="text1"/>
          <w:sz w:val="28"/>
          <w14:textFill>
            <w14:solidFill>
              <w14:schemeClr w14:val="tx1"/>
            </w14:solidFill>
          </w14:textFill>
        </w:rPr>
        <w:t>，</w:t>
      </w:r>
      <w:r>
        <w:rPr>
          <w:rFonts w:hint="eastAsia" w:ascii="Times New Roman" w:hAnsi="Times New Roman" w:cs="Times New Roman"/>
          <w:color w:val="000000" w:themeColor="text1"/>
          <w:sz w:val="28"/>
          <w:lang w:eastAsia="zh-CN"/>
          <w14:textFill>
            <w14:solidFill>
              <w14:schemeClr w14:val="tx1"/>
            </w14:solidFill>
          </w14:textFill>
        </w:rPr>
        <w:t>企业设有两套综合废气净化设施，一用一备，</w:t>
      </w:r>
      <w:r>
        <w:rPr>
          <w:rFonts w:hint="default" w:ascii="Times New Roman" w:hAnsi="Times New Roman" w:cs="Times New Roman"/>
          <w:color w:val="000000" w:themeColor="text1"/>
          <w:sz w:val="28"/>
          <w14:textFill>
            <w14:solidFill>
              <w14:schemeClr w14:val="tx1"/>
            </w14:solidFill>
          </w14:textFill>
        </w:rPr>
        <w:t>废气收集后经水喷淋塔净化处理达标后引至高空排放</w:t>
      </w:r>
      <w:r>
        <w:rPr>
          <w:rFonts w:hint="eastAsia" w:ascii="Times New Roman" w:hAnsi="Times New Roman" w:cs="Times New Roman"/>
          <w:color w:val="000000" w:themeColor="text1"/>
          <w:sz w:val="28"/>
          <w:lang w:eastAsia="zh-CN"/>
          <w14:textFill>
            <w14:solidFill>
              <w14:schemeClr w14:val="tx1"/>
            </w14:solidFill>
          </w14:textFill>
        </w:rPr>
        <w:t>，排气筒高度均为</w:t>
      </w:r>
      <w:r>
        <w:rPr>
          <w:rFonts w:hint="default" w:ascii="Times New Roman" w:hAnsi="Times New Roman" w:cs="Times New Roman"/>
          <w:color w:val="000000" w:themeColor="text1"/>
          <w:sz w:val="28"/>
          <w14:textFill>
            <w14:solidFill>
              <w14:schemeClr w14:val="tx1"/>
            </w14:solidFill>
          </w14:textFill>
        </w:rPr>
        <w:t>2</w:t>
      </w:r>
      <w:r>
        <w:rPr>
          <w:rFonts w:hint="eastAsia" w:ascii="Times New Roman" w:hAnsi="Times New Roman" w:cs="Times New Roman"/>
          <w:color w:val="000000" w:themeColor="text1"/>
          <w:sz w:val="28"/>
          <w:lang w:val="en-US" w:eastAsia="zh-CN"/>
          <w14:textFill>
            <w14:solidFill>
              <w14:schemeClr w14:val="tx1"/>
            </w14:solidFill>
          </w14:textFill>
        </w:rPr>
        <w:t>6</w:t>
      </w:r>
      <w:r>
        <w:rPr>
          <w:rFonts w:hint="default" w:ascii="Times New Roman" w:hAnsi="Times New Roman" w:cs="Times New Roman"/>
          <w:color w:val="000000" w:themeColor="text1"/>
          <w:sz w:val="28"/>
          <w14:textFill>
            <w14:solidFill>
              <w14:schemeClr w14:val="tx1"/>
            </w14:solidFill>
          </w14:textFill>
        </w:rPr>
        <w:t>米。</w:t>
      </w:r>
    </w:p>
    <w:p>
      <w:pPr>
        <w:autoSpaceDE w:val="0"/>
        <w:autoSpaceDN w:val="0"/>
        <w:adjustRightInd w:val="0"/>
        <w:spacing w:line="360" w:lineRule="auto"/>
        <w:ind w:firstLine="560" w:firstLineChars="200"/>
        <w:rPr>
          <w:rFonts w:hint="default" w:ascii="Times New Roman" w:hAnsi="Times New Roman" w:cs="Times New Roman"/>
          <w:color w:val="000000" w:themeColor="text1"/>
          <w:sz w:val="28"/>
          <w14:textFill>
            <w14:solidFill>
              <w14:schemeClr w14:val="tx1"/>
            </w14:solidFill>
          </w14:textFill>
        </w:rPr>
      </w:pPr>
      <w:r>
        <w:rPr>
          <w:rFonts w:hint="default" w:ascii="Times New Roman" w:hAnsi="Times New Roman" w:cs="Times New Roman"/>
          <w:color w:val="000000" w:themeColor="text1"/>
          <w:sz w:val="28"/>
          <w14:textFill>
            <w14:solidFill>
              <w14:schemeClr w14:val="tx1"/>
            </w14:solidFill>
          </w14:textFill>
        </w:rPr>
        <w:t>项目</w:t>
      </w:r>
      <w:r>
        <w:rPr>
          <w:rFonts w:hint="eastAsia" w:ascii="Times New Roman" w:hAnsi="Times New Roman" w:cs="Times New Roman"/>
          <w:color w:val="000000" w:themeColor="text1"/>
          <w:sz w:val="28"/>
          <w:lang w:eastAsia="zh-CN"/>
          <w14:textFill>
            <w14:solidFill>
              <w14:schemeClr w14:val="tx1"/>
            </w14:solidFill>
          </w14:textFill>
        </w:rPr>
        <w:t>二车间</w:t>
      </w:r>
      <w:r>
        <w:rPr>
          <w:rFonts w:hint="eastAsia" w:ascii="Times New Roman" w:hAnsi="Times New Roman" w:cs="Times New Roman"/>
          <w:color w:val="000000" w:themeColor="text1"/>
          <w:sz w:val="28"/>
          <w:lang w:val="en-US" w:eastAsia="zh-CN"/>
          <w14:textFill>
            <w14:solidFill>
              <w14:schemeClr w14:val="tx1"/>
            </w14:solidFill>
          </w14:textFill>
        </w:rPr>
        <w:t>3F镀铬</w:t>
      </w:r>
      <w:r>
        <w:rPr>
          <w:rFonts w:hint="default" w:ascii="Times New Roman" w:hAnsi="Times New Roman" w:cs="Times New Roman"/>
          <w:color w:val="000000" w:themeColor="text1"/>
          <w:sz w:val="28"/>
          <w14:textFill>
            <w14:solidFill>
              <w14:schemeClr w14:val="tx1"/>
            </w14:solidFill>
          </w14:textFill>
        </w:rPr>
        <w:t>过程中会产生一定量的</w:t>
      </w:r>
      <w:r>
        <w:rPr>
          <w:rFonts w:hint="eastAsia" w:ascii="Times New Roman" w:hAnsi="Times New Roman" w:cs="Times New Roman"/>
          <w:color w:val="000000" w:themeColor="text1"/>
          <w:sz w:val="28"/>
          <w:lang w:eastAsia="zh-CN"/>
          <w14:textFill>
            <w14:solidFill>
              <w14:schemeClr w14:val="tx1"/>
            </w14:solidFill>
          </w14:textFill>
        </w:rPr>
        <w:t>铬酸雾</w:t>
      </w:r>
      <w:r>
        <w:rPr>
          <w:rFonts w:hint="default" w:ascii="Times New Roman" w:hAnsi="Times New Roman" w:cs="Times New Roman"/>
          <w:color w:val="000000" w:themeColor="text1"/>
          <w:sz w:val="28"/>
          <w14:textFill>
            <w14:solidFill>
              <w14:schemeClr w14:val="tx1"/>
            </w14:solidFill>
          </w14:textFill>
        </w:rPr>
        <w:t>，废气</w:t>
      </w:r>
      <w:r>
        <w:rPr>
          <w:rFonts w:hint="eastAsia" w:ascii="Times New Roman" w:hAnsi="Times New Roman" w:cs="Times New Roman"/>
          <w:color w:val="000000" w:themeColor="text1"/>
          <w:sz w:val="28"/>
          <w:lang w:eastAsia="zh-CN"/>
          <w14:textFill>
            <w14:solidFill>
              <w14:schemeClr w14:val="tx1"/>
            </w14:solidFill>
          </w14:textFill>
        </w:rPr>
        <w:t>收集后</w:t>
      </w:r>
      <w:r>
        <w:rPr>
          <w:rFonts w:hint="default" w:ascii="Times New Roman" w:hAnsi="Times New Roman" w:cs="Times New Roman"/>
          <w:color w:val="000000" w:themeColor="text1"/>
          <w:sz w:val="28"/>
          <w14:textFill>
            <w14:solidFill>
              <w14:schemeClr w14:val="tx1"/>
            </w14:solidFill>
          </w14:textFill>
        </w:rPr>
        <w:t>经水喷淋塔净化处理达标后引至</w:t>
      </w:r>
      <w:r>
        <w:rPr>
          <w:rFonts w:hint="eastAsia" w:ascii="Times New Roman" w:hAnsi="Times New Roman" w:cs="Times New Roman"/>
          <w:color w:val="000000" w:themeColor="text1"/>
          <w:sz w:val="28"/>
          <w:lang w:val="en-US" w:eastAsia="zh-CN"/>
          <w14:textFill>
            <w14:solidFill>
              <w14:schemeClr w14:val="tx1"/>
            </w14:solidFill>
          </w14:textFill>
        </w:rPr>
        <w:t>26</w:t>
      </w:r>
      <w:r>
        <w:rPr>
          <w:rFonts w:hint="default" w:ascii="Times New Roman" w:hAnsi="Times New Roman" w:cs="Times New Roman"/>
          <w:color w:val="000000" w:themeColor="text1"/>
          <w:sz w:val="28"/>
          <w14:textFill>
            <w14:solidFill>
              <w14:schemeClr w14:val="tx1"/>
            </w14:solidFill>
          </w14:textFill>
        </w:rPr>
        <w:t>米</w:t>
      </w:r>
      <w:r>
        <w:rPr>
          <w:rFonts w:hint="eastAsia" w:ascii="Times New Roman" w:hAnsi="Times New Roman" w:cs="Times New Roman"/>
          <w:color w:val="000000" w:themeColor="text1"/>
          <w:sz w:val="28"/>
          <w:lang w:eastAsia="zh-CN"/>
          <w14:textFill>
            <w14:solidFill>
              <w14:schemeClr w14:val="tx1"/>
            </w14:solidFill>
          </w14:textFill>
        </w:rPr>
        <w:t>高空排放</w:t>
      </w:r>
      <w:r>
        <w:rPr>
          <w:rFonts w:hint="default" w:ascii="Times New Roman" w:hAnsi="Times New Roman" w:cs="Times New Roman"/>
          <w:color w:val="000000" w:themeColor="text1"/>
          <w:sz w:val="28"/>
          <w14:textFill>
            <w14:solidFill>
              <w14:schemeClr w14:val="tx1"/>
            </w14:solidFill>
          </w14:textFill>
        </w:rPr>
        <w:t>。</w:t>
      </w:r>
    </w:p>
    <w:p>
      <w:pPr>
        <w:autoSpaceDE w:val="0"/>
        <w:autoSpaceDN w:val="0"/>
        <w:adjustRightInd w:val="0"/>
        <w:spacing w:line="360" w:lineRule="auto"/>
        <w:ind w:firstLine="560" w:firstLineChars="200"/>
        <w:rPr>
          <w:rFonts w:hint="eastAsia" w:ascii="Times New Roman" w:hAnsi="Times New Roman" w:cs="Times New Roman"/>
          <w:color w:val="000000" w:themeColor="text1"/>
          <w:sz w:val="28"/>
          <w:lang w:val="en-US" w:eastAsia="zh-CN"/>
          <w14:textFill>
            <w14:solidFill>
              <w14:schemeClr w14:val="tx1"/>
            </w14:solidFill>
          </w14:textFill>
        </w:rPr>
      </w:pPr>
      <w:r>
        <w:rPr>
          <w:rFonts w:hint="eastAsia" w:ascii="Times New Roman" w:hAnsi="Times New Roman" w:cs="Times New Roman"/>
          <w:color w:val="000000" w:themeColor="text1"/>
          <w:sz w:val="28"/>
          <w:lang w:val="en-US" w:eastAsia="zh-CN"/>
          <w14:textFill>
            <w14:solidFill>
              <w14:schemeClr w14:val="tx1"/>
            </w14:solidFill>
          </w14:textFill>
        </w:rPr>
        <w:t>项目一车间2F自动喷漆、烘干（蒸汽集中供热）过程中会产生一定量的颗粒物、VOCs，废气收集后经水喷淋塔+除雾器+UV光解+活性炭吸附处理达标后引至26米高空排放。</w:t>
      </w:r>
    </w:p>
    <w:p>
      <w:pPr>
        <w:autoSpaceDE w:val="0"/>
        <w:autoSpaceDN w:val="0"/>
        <w:adjustRightInd w:val="0"/>
        <w:spacing w:line="360" w:lineRule="auto"/>
        <w:ind w:firstLine="536" w:firstLineChars="200"/>
        <w:rPr>
          <w:rFonts w:hint="default" w:ascii="Times New Roman" w:hAnsi="Times New Roman" w:cs="Times New Roman"/>
          <w:color w:val="000000" w:themeColor="text1"/>
          <w:sz w:val="28"/>
          <w14:textFill>
            <w14:solidFill>
              <w14:schemeClr w14:val="tx1"/>
            </w14:solidFill>
          </w14:textFill>
        </w:rPr>
      </w:pPr>
      <w:r>
        <w:rPr>
          <w:rFonts w:hint="eastAsia" w:ascii="Times New Roman" w:hAnsi="Times New Roman" w:cs="Times New Roman"/>
          <w:color w:val="000000" w:themeColor="text1"/>
          <w:spacing w:val="-6"/>
          <w:sz w:val="28"/>
          <w:lang w:val="en-US" w:eastAsia="zh-CN"/>
          <w14:textFill>
            <w14:solidFill>
              <w14:schemeClr w14:val="tx1"/>
            </w14:solidFill>
          </w14:textFill>
        </w:rPr>
        <w:t>企业将除油、除蜡废气收集后通过</w:t>
      </w:r>
      <w:r>
        <w:rPr>
          <w:rFonts w:hint="eastAsia" w:cs="Times New Roman"/>
          <w:color w:val="000000" w:themeColor="text1"/>
          <w:spacing w:val="-6"/>
          <w:sz w:val="28"/>
          <w:lang w:val="en-US" w:eastAsia="zh-CN"/>
          <w14:textFill>
            <w14:solidFill>
              <w14:schemeClr w14:val="tx1"/>
            </w14:solidFill>
          </w14:textFill>
        </w:rPr>
        <w:t>经改造的</w:t>
      </w:r>
      <w:r>
        <w:rPr>
          <w:rFonts w:hint="eastAsia" w:ascii="Times New Roman" w:hAnsi="Times New Roman" w:cs="Times New Roman"/>
          <w:color w:val="000000" w:themeColor="text1"/>
          <w:spacing w:val="-6"/>
          <w:sz w:val="28"/>
          <w:lang w:val="en-US" w:eastAsia="zh-CN"/>
          <w14:textFill>
            <w14:solidFill>
              <w14:schemeClr w14:val="tx1"/>
            </w14:solidFill>
          </w14:textFill>
        </w:rPr>
        <w:t>原含氰废气排气筒（该废气塔已不再处理含氰废气）</w:t>
      </w:r>
      <w:r>
        <w:rPr>
          <w:rFonts w:hint="eastAsia" w:cs="Times New Roman"/>
          <w:color w:val="000000" w:themeColor="text1"/>
          <w:spacing w:val="-6"/>
          <w:sz w:val="28"/>
          <w:lang w:val="en-US" w:eastAsia="zh-CN"/>
          <w14:textFill>
            <w14:solidFill>
              <w14:schemeClr w14:val="tx1"/>
            </w14:solidFill>
          </w14:textFill>
        </w:rPr>
        <w:t>处理后</w:t>
      </w:r>
      <w:r>
        <w:rPr>
          <w:rFonts w:hint="eastAsia" w:ascii="Times New Roman" w:hAnsi="Times New Roman" w:cs="Times New Roman"/>
          <w:color w:val="000000" w:themeColor="text1"/>
          <w:spacing w:val="-6"/>
          <w:sz w:val="28"/>
          <w:lang w:val="en-US" w:eastAsia="zh-CN"/>
          <w14:textFill>
            <w14:solidFill>
              <w14:schemeClr w14:val="tx1"/>
            </w14:solidFill>
          </w14:textFill>
        </w:rPr>
        <w:t>引至屋顶26米高空排放</w:t>
      </w:r>
      <w:r>
        <w:rPr>
          <w:rFonts w:hint="default" w:ascii="Times New Roman" w:hAnsi="Times New Roman" w:cs="Times New Roman"/>
          <w:color w:val="000000" w:themeColor="text1"/>
          <w:spacing w:val="-6"/>
          <w:sz w:val="28"/>
          <w14:textFill>
            <w14:solidFill>
              <w14:schemeClr w14:val="tx1"/>
            </w14:solidFill>
          </w14:textFill>
        </w:rPr>
        <w:t>，废气来源及处理方式见表5-2</w:t>
      </w:r>
      <w:r>
        <w:rPr>
          <w:rFonts w:hint="default" w:ascii="Times New Roman" w:hAnsi="Times New Roman" w:cs="Times New Roman"/>
          <w:color w:val="000000" w:themeColor="text1"/>
          <w:sz w:val="28"/>
          <w14:textFill>
            <w14:solidFill>
              <w14:schemeClr w14:val="tx1"/>
            </w14:solidFill>
          </w14:textFill>
        </w:rPr>
        <w:t>。</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表5-2 废气来源及处理方式一览表</w:t>
      </w:r>
    </w:p>
    <w:tbl>
      <w:tblPr>
        <w:tblStyle w:val="37"/>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70"/>
        <w:gridCol w:w="1631"/>
        <w:gridCol w:w="2314"/>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 w:hRule="atLeast"/>
          <w:tblHeader/>
          <w:jc w:val="center"/>
        </w:trPr>
        <w:tc>
          <w:tcPr>
            <w:tcW w:w="1970"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废气来源</w:t>
            </w:r>
          </w:p>
        </w:tc>
        <w:tc>
          <w:tcPr>
            <w:tcW w:w="1631"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主要污染因子</w:t>
            </w:r>
          </w:p>
        </w:tc>
        <w:tc>
          <w:tcPr>
            <w:tcW w:w="2314" w:type="dxa"/>
            <w:vAlign w:val="center"/>
          </w:tcPr>
          <w:p>
            <w:pPr>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处理设施</w:t>
            </w:r>
          </w:p>
        </w:tc>
        <w:tc>
          <w:tcPr>
            <w:tcW w:w="1130" w:type="dxa"/>
            <w:vAlign w:val="center"/>
          </w:tcPr>
          <w:p>
            <w:pPr>
              <w:jc w:val="center"/>
              <w:rPr>
                <w:rFonts w:hint="default" w:ascii="Times New Roman" w:hAnsi="Times New Roman" w:cs="Times New Roman"/>
                <w:color w:val="000000"/>
                <w:spacing w:val="-10"/>
                <w:szCs w:val="21"/>
              </w:rPr>
            </w:pPr>
            <w:r>
              <w:rPr>
                <w:rFonts w:hint="default" w:ascii="Times New Roman" w:hAnsi="Times New Roman" w:cs="Times New Roman"/>
                <w:color w:val="000000"/>
                <w:spacing w:val="-10"/>
                <w:szCs w:val="21"/>
              </w:rPr>
              <w:t>排气筒高度</w:t>
            </w:r>
          </w:p>
        </w:tc>
        <w:tc>
          <w:tcPr>
            <w:tcW w:w="1130"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rPr>
                <w:rFonts w:hint="eastAsia" w:ascii="Times New Roman" w:hAnsi="Times New Roman" w:eastAsia="宋体" w:cs="Times New Roman"/>
                <w:lang w:eastAsia="zh-CN"/>
              </w:rPr>
            </w:pPr>
            <w:r>
              <w:rPr>
                <w:rFonts w:hint="eastAsia" w:cs="Times New Roman"/>
                <w:lang w:eastAsia="zh-CN"/>
              </w:rPr>
              <w:t>前处理、镀镍</w:t>
            </w:r>
          </w:p>
        </w:tc>
        <w:tc>
          <w:tcPr>
            <w:tcW w:w="1631"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硫酸雾、氯化氢</w:t>
            </w:r>
          </w:p>
        </w:tc>
        <w:tc>
          <w:tcPr>
            <w:tcW w:w="2314"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水喷淋塔</w:t>
            </w:r>
          </w:p>
        </w:tc>
        <w:tc>
          <w:tcPr>
            <w:tcW w:w="1130"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26米</w:t>
            </w:r>
          </w:p>
        </w:tc>
        <w:tc>
          <w:tcPr>
            <w:tcW w:w="1130"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rPr>
                <w:rFonts w:hint="eastAsia" w:ascii="Times New Roman" w:hAnsi="Times New Roman" w:eastAsia="宋体" w:cs="Times New Roman"/>
                <w:color w:val="000000"/>
                <w:lang w:eastAsia="zh-CN"/>
              </w:rPr>
            </w:pPr>
            <w:r>
              <w:rPr>
                <w:rFonts w:hint="eastAsia" w:cs="Times New Roman"/>
                <w:color w:val="000000"/>
                <w:lang w:eastAsia="zh-CN"/>
              </w:rPr>
              <w:t>镀铬</w:t>
            </w:r>
          </w:p>
        </w:tc>
        <w:tc>
          <w:tcPr>
            <w:tcW w:w="1631" w:type="dxa"/>
            <w:vAlign w:val="center"/>
          </w:tcPr>
          <w:p>
            <w:pPr>
              <w:jc w:val="center"/>
              <w:rPr>
                <w:rFonts w:hint="eastAsia" w:ascii="Times New Roman" w:hAnsi="Times New Roman" w:eastAsia="宋体" w:cs="Times New Roman"/>
                <w:szCs w:val="21"/>
                <w:lang w:eastAsia="zh-CN"/>
              </w:rPr>
            </w:pPr>
            <w:r>
              <w:rPr>
                <w:rFonts w:hint="eastAsia" w:cs="Times New Roman"/>
                <w:szCs w:val="21"/>
                <w:lang w:eastAsia="zh-CN"/>
              </w:rPr>
              <w:t>铬酸雾</w:t>
            </w:r>
          </w:p>
        </w:tc>
        <w:tc>
          <w:tcPr>
            <w:tcW w:w="231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水喷淋塔</w:t>
            </w:r>
          </w:p>
        </w:tc>
        <w:tc>
          <w:tcPr>
            <w:tcW w:w="1130" w:type="dxa"/>
            <w:vAlign w:val="center"/>
          </w:tcPr>
          <w:p>
            <w:pPr>
              <w:jc w:val="center"/>
              <w:rPr>
                <w:rFonts w:hint="default" w:ascii="Times New Roman" w:hAnsi="Times New Roman" w:cs="Times New Roman"/>
                <w:szCs w:val="21"/>
              </w:rPr>
            </w:pPr>
            <w:r>
              <w:rPr>
                <w:rFonts w:hint="eastAsia" w:cs="Times New Roman"/>
                <w:szCs w:val="21"/>
                <w:lang w:val="en-US" w:eastAsia="zh-CN"/>
              </w:rPr>
              <w:t>26</w:t>
            </w:r>
            <w:r>
              <w:rPr>
                <w:rFonts w:hint="default" w:ascii="Times New Roman" w:hAnsi="Times New Roman" w:cs="Times New Roman"/>
                <w:szCs w:val="21"/>
              </w:rPr>
              <w:t>米</w:t>
            </w:r>
          </w:p>
        </w:tc>
        <w:tc>
          <w:tcPr>
            <w:tcW w:w="1130"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rPr>
                <w:rFonts w:hint="eastAsia" w:ascii="Times New Roman" w:hAnsi="Times New Roman" w:eastAsia="宋体" w:cs="Times New Roman"/>
                <w:color w:val="000000"/>
                <w:lang w:eastAsia="zh-CN"/>
              </w:rPr>
            </w:pPr>
            <w:r>
              <w:rPr>
                <w:rFonts w:hint="eastAsia" w:cs="Times New Roman"/>
                <w:color w:val="000000"/>
                <w:lang w:eastAsia="zh-CN"/>
              </w:rPr>
              <w:t>喷漆、烘干</w:t>
            </w:r>
          </w:p>
        </w:tc>
        <w:tc>
          <w:tcPr>
            <w:tcW w:w="1631" w:type="dxa"/>
            <w:vAlign w:val="center"/>
          </w:tcPr>
          <w:p>
            <w:pPr>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颗粒物、VOCs</w:t>
            </w:r>
          </w:p>
        </w:tc>
        <w:tc>
          <w:tcPr>
            <w:tcW w:w="2314" w:type="dxa"/>
            <w:vAlign w:val="center"/>
          </w:tcPr>
          <w:p>
            <w:pPr>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水喷淋塔+除雾器+UV光解+活性炭吸附设备</w:t>
            </w:r>
          </w:p>
        </w:tc>
        <w:tc>
          <w:tcPr>
            <w:tcW w:w="1130" w:type="dxa"/>
            <w:vAlign w:val="center"/>
          </w:tcPr>
          <w:p>
            <w:pPr>
              <w:jc w:val="center"/>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26</w:t>
            </w:r>
            <w:r>
              <w:rPr>
                <w:rFonts w:hint="default" w:ascii="Times New Roman" w:hAnsi="Times New Roman" w:cs="Times New Roman"/>
                <w:szCs w:val="21"/>
                <w:lang w:val="en-US" w:eastAsia="zh-CN"/>
              </w:rPr>
              <w:t>米</w:t>
            </w:r>
          </w:p>
        </w:tc>
        <w:tc>
          <w:tcPr>
            <w:tcW w:w="1130" w:type="dxa"/>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 w:hRule="atLeast"/>
          <w:jc w:val="center"/>
        </w:trPr>
        <w:tc>
          <w:tcPr>
            <w:tcW w:w="1970" w:type="dxa"/>
            <w:vAlign w:val="center"/>
          </w:tcPr>
          <w:p>
            <w:pPr>
              <w:jc w:val="center"/>
              <w:rPr>
                <w:rFonts w:hint="eastAsia" w:cs="Times New Roman"/>
                <w:color w:val="000000"/>
                <w:lang w:eastAsia="zh-CN"/>
              </w:rPr>
            </w:pPr>
            <w:r>
              <w:rPr>
                <w:rFonts w:hint="eastAsia" w:cs="Times New Roman"/>
                <w:color w:val="000000"/>
                <w:lang w:eastAsia="zh-CN"/>
              </w:rPr>
              <w:t>除油、除蜡</w:t>
            </w:r>
          </w:p>
        </w:tc>
        <w:tc>
          <w:tcPr>
            <w:tcW w:w="5075" w:type="dxa"/>
            <w:gridSpan w:val="3"/>
            <w:vAlign w:val="center"/>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收集后通过</w:t>
            </w:r>
            <w:r>
              <w:rPr>
                <w:rFonts w:hint="eastAsia" w:cs="Times New Roman"/>
                <w:szCs w:val="21"/>
                <w:lang w:val="en-US" w:eastAsia="zh-CN"/>
              </w:rPr>
              <w:t>经改造的</w:t>
            </w:r>
            <w:r>
              <w:rPr>
                <w:rFonts w:hint="eastAsia" w:ascii="Times New Roman" w:hAnsi="Times New Roman" w:cs="Times New Roman"/>
                <w:szCs w:val="21"/>
                <w:lang w:val="en-US" w:eastAsia="zh-CN"/>
              </w:rPr>
              <w:t>原含氰废气排气筒（该废气塔已不再处理含氰废气）</w:t>
            </w:r>
            <w:r>
              <w:rPr>
                <w:rFonts w:hint="eastAsia" w:cs="Times New Roman"/>
                <w:szCs w:val="21"/>
                <w:lang w:val="en-US" w:eastAsia="zh-CN"/>
              </w:rPr>
              <w:t>处理后</w:t>
            </w:r>
            <w:r>
              <w:rPr>
                <w:rFonts w:hint="eastAsia" w:ascii="Times New Roman" w:hAnsi="Times New Roman" w:cs="Times New Roman"/>
                <w:szCs w:val="21"/>
                <w:lang w:val="en-US" w:eastAsia="zh-CN"/>
              </w:rPr>
              <w:t>引至屋顶26米高空排放</w:t>
            </w:r>
          </w:p>
        </w:tc>
        <w:tc>
          <w:tcPr>
            <w:tcW w:w="1130" w:type="dxa"/>
            <w:vAlign w:val="center"/>
          </w:tcPr>
          <w:p>
            <w:pPr>
              <w:jc w:val="center"/>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eastAsia="zh-CN"/>
              </w:rPr>
              <w:t>环境</w:t>
            </w:r>
          </w:p>
        </w:tc>
      </w:tr>
    </w:tbl>
    <w:p>
      <w:pPr>
        <w:pStyle w:val="5"/>
        <w:rPr>
          <w:rFonts w:hint="default" w:ascii="Times New Roman" w:hAnsi="Times New Roman" w:cs="Times New Roman"/>
          <w:sz w:val="10"/>
          <w:szCs w:val="1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default" w:ascii="Times New Roman" w:hAnsi="Times New Roman" w:eastAsia="宋体" w:cs="Times New Roman"/>
                <w:lang w:val="en-US" w:eastAsia="zh-CN"/>
              </w:rPr>
            </w:pPr>
            <w:r>
              <w:rPr>
                <w:rFonts w:hint="eastAsia" w:cs="Times New Roman"/>
                <w:lang w:eastAsia="zh-CN"/>
              </w:rPr>
              <w:t>二车间</w:t>
            </w:r>
            <w:r>
              <w:rPr>
                <w:rFonts w:hint="eastAsia" w:cs="Times New Roman"/>
                <w:lang w:val="en-US" w:eastAsia="zh-CN"/>
              </w:rPr>
              <w:t>3F镀铬线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default" w:ascii="Times New Roman" w:hAnsi="Times New Roman" w:eastAsia="宋体" w:cs="Times New Roman"/>
                <w:lang w:val="en-US" w:eastAsia="zh-CN"/>
              </w:rPr>
            </w:pPr>
            <w:r>
              <w:rPr>
                <w:rFonts w:hint="eastAsia" w:cs="Times New Roman"/>
                <w:lang w:eastAsia="zh-CN"/>
              </w:rPr>
              <w:t>二车间</w:t>
            </w:r>
            <w:r>
              <w:rPr>
                <w:rFonts w:hint="eastAsia" w:cs="Times New Roman"/>
                <w:lang w:val="en-US" w:eastAsia="zh-CN"/>
              </w:rPr>
              <w:t>3F前处理、镀镍线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default" w:cs="Times New Roman"/>
                <w:lang w:val="en-US" w:eastAsia="zh-CN"/>
              </w:rPr>
            </w:pPr>
            <w:r>
              <w:rPr>
                <w:rFonts w:hint="eastAsia" w:cs="Times New Roman"/>
                <w:lang w:eastAsia="zh-CN"/>
              </w:rPr>
              <w:t>二车间</w:t>
            </w:r>
            <w:r>
              <w:rPr>
                <w:rFonts w:hint="eastAsia" w:cs="Times New Roman"/>
                <w:lang w:val="en-US" w:eastAsia="zh-CN"/>
              </w:rPr>
              <w:t>1F除油、除蜡线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default" w:cs="Times New Roman"/>
                <w:lang w:val="en-US" w:eastAsia="zh-CN"/>
              </w:rPr>
            </w:pPr>
            <w:r>
              <w:rPr>
                <w:rFonts w:hint="eastAsia" w:cs="Times New Roman"/>
                <w:lang w:eastAsia="zh-CN"/>
              </w:rPr>
              <w:t>一车间</w:t>
            </w:r>
            <w:r>
              <w:rPr>
                <w:rFonts w:hint="eastAsia" w:cs="Times New Roman"/>
                <w:lang w:val="en-US" w:eastAsia="zh-CN"/>
              </w:rPr>
              <w:t>2F自动喷漆烘干线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r>
              <w:rPr>
                <w:rFonts w:hint="eastAsia" w:cs="Times New Roman"/>
                <w:lang w:eastAsia="zh-CN"/>
              </w:rPr>
              <w:t>二车间楼顶废气处理设施出口示意图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r>
              <w:rPr>
                <w:rFonts w:hint="eastAsia" w:cs="Times New Roman"/>
                <w:lang w:eastAsia="zh-CN"/>
              </w:rPr>
              <w:t>有机废气处理设施</w:t>
            </w:r>
          </w:p>
        </w:tc>
      </w:tr>
    </w:tbl>
    <w:p>
      <w:pPr>
        <w:pStyle w:val="5"/>
        <w:rPr>
          <w:rFonts w:hint="default" w:ascii="Times New Roman" w:hAnsi="Times New Roman" w:cs="Times New Roman"/>
        </w:rPr>
      </w:pPr>
      <w:r>
        <w:rPr>
          <w:rFonts w:hint="default" w:ascii="Times New Roman" w:hAnsi="Times New Roman" w:cs="Times New Roman"/>
        </w:rPr>
        <w:t>5.1.3 噪声</w:t>
      </w:r>
    </w:p>
    <w:p>
      <w:pPr>
        <w:pStyle w:val="5"/>
        <w:ind w:firstLine="560" w:firstLineChars="200"/>
        <w:rPr>
          <w:rFonts w:hint="default" w:ascii="Times New Roman" w:hAnsi="Times New Roman" w:cs="Times New Roman"/>
          <w:szCs w:val="28"/>
        </w:rPr>
      </w:pPr>
      <w:r>
        <w:rPr>
          <w:rFonts w:hint="default" w:ascii="Times New Roman" w:hAnsi="Times New Roman" w:cs="Times New Roman"/>
          <w:b w:val="0"/>
          <w:bCs w:val="0"/>
          <w:szCs w:val="28"/>
        </w:rPr>
        <w:t>该项目噪声源主要来</w:t>
      </w:r>
      <w:r>
        <w:rPr>
          <w:rFonts w:hint="eastAsia" w:cs="Times New Roman"/>
          <w:b w:val="0"/>
          <w:bCs w:val="0"/>
          <w:szCs w:val="28"/>
          <w:lang w:eastAsia="zh-CN"/>
        </w:rPr>
        <w:t>自电镀生产线</w:t>
      </w:r>
      <w:r>
        <w:rPr>
          <w:rFonts w:hint="default" w:ascii="Times New Roman" w:hAnsi="Times New Roman" w:cs="Times New Roman"/>
          <w:b w:val="0"/>
          <w:bCs w:val="0"/>
          <w:szCs w:val="28"/>
        </w:rPr>
        <w:t>、喷漆、废气处理风机等设备运行噪声。</w:t>
      </w:r>
    </w:p>
    <w:p>
      <w:pPr>
        <w:pStyle w:val="5"/>
        <w:rPr>
          <w:rFonts w:hint="default" w:ascii="Times New Roman" w:hAnsi="Times New Roman" w:cs="Times New Roman"/>
        </w:rPr>
      </w:pPr>
      <w:r>
        <w:rPr>
          <w:rFonts w:hint="default" w:ascii="Times New Roman" w:hAnsi="Times New Roman" w:cs="Times New Roman"/>
        </w:rPr>
        <w:t>5.1.4 固(液)体废物</w:t>
      </w:r>
    </w:p>
    <w:p>
      <w:pPr>
        <w:tabs>
          <w:tab w:val="left" w:pos="757"/>
        </w:tabs>
        <w:spacing w:line="360" w:lineRule="auto"/>
        <w:ind w:firstLine="560" w:firstLineChars="200"/>
        <w:rPr>
          <w:rFonts w:hint="default" w:ascii="Times New Roman" w:hAnsi="Times New Roman" w:cs="Times New Roman"/>
          <w:spacing w:val="-40"/>
          <w:sz w:val="28"/>
          <w:szCs w:val="28"/>
        </w:rPr>
      </w:pPr>
      <w:bookmarkStart w:id="168" w:name="OLE_LINK2"/>
      <w:r>
        <w:rPr>
          <w:rFonts w:hint="eastAsia" w:cs="Times New Roman"/>
          <w:sz w:val="28"/>
          <w:szCs w:val="28"/>
          <w:lang w:eastAsia="zh-CN"/>
        </w:rPr>
        <w:t>改</w:t>
      </w:r>
      <w:r>
        <w:rPr>
          <w:rFonts w:hint="default" w:ascii="Times New Roman" w:hAnsi="Times New Roman" w:cs="Times New Roman"/>
          <w:sz w:val="28"/>
          <w:szCs w:val="28"/>
        </w:rPr>
        <w:t>建项目及迁建整合提升项目</w:t>
      </w:r>
      <w:r>
        <w:rPr>
          <w:rFonts w:hint="eastAsia" w:cs="Times New Roman"/>
          <w:sz w:val="28"/>
          <w:szCs w:val="28"/>
          <w:lang w:eastAsia="zh-CN"/>
        </w:rPr>
        <w:t>中的一车间</w:t>
      </w:r>
      <w:r>
        <w:rPr>
          <w:rFonts w:hint="eastAsia" w:cs="Times New Roman"/>
          <w:sz w:val="28"/>
          <w:szCs w:val="28"/>
          <w:lang w:val="en-US" w:eastAsia="zh-CN"/>
        </w:rPr>
        <w:t>2F自动喷漆车间</w:t>
      </w:r>
      <w:r>
        <w:rPr>
          <w:rFonts w:hint="default" w:ascii="Times New Roman" w:hAnsi="Times New Roman" w:cs="Times New Roman"/>
          <w:sz w:val="28"/>
          <w:szCs w:val="28"/>
        </w:rPr>
        <w:t>产生的固体废物主要为</w:t>
      </w:r>
      <w:r>
        <w:rPr>
          <w:rFonts w:hint="eastAsia" w:cs="Times New Roman"/>
          <w:color w:val="000000" w:themeColor="text1"/>
          <w:sz w:val="28"/>
          <w:szCs w:val="28"/>
          <w:lang w:eastAsia="zh-CN"/>
          <w14:textFill>
            <w14:solidFill>
              <w14:schemeClr w14:val="tx1"/>
            </w14:solidFill>
          </w14:textFill>
        </w:rPr>
        <w:t>电镀废渣、废电镀液</w:t>
      </w:r>
      <w:r>
        <w:rPr>
          <w:rFonts w:hint="default" w:ascii="Times New Roman" w:hAnsi="Times New Roman" w:cs="Times New Roman"/>
          <w:color w:val="000000" w:themeColor="text1"/>
          <w:sz w:val="28"/>
          <w:szCs w:val="28"/>
          <w14:textFill>
            <w14:solidFill>
              <w14:schemeClr w14:val="tx1"/>
            </w14:solidFill>
          </w14:textFill>
        </w:rPr>
        <w:t>、废活性炭</w:t>
      </w:r>
      <w:r>
        <w:rPr>
          <w:rFonts w:hint="eastAsia" w:cs="Times New Roman"/>
          <w:color w:val="000000" w:themeColor="text1"/>
          <w:sz w:val="28"/>
          <w:szCs w:val="28"/>
          <w:lang w:eastAsia="zh-CN"/>
          <w14:textFill>
            <w14:solidFill>
              <w14:schemeClr w14:val="tx1"/>
            </w14:solidFill>
          </w14:textFill>
        </w:rPr>
        <w:t>、漆渣、废包装容器</w:t>
      </w:r>
      <w:r>
        <w:rPr>
          <w:rFonts w:hint="default" w:ascii="Times New Roman" w:hAnsi="Times New Roman" w:cs="Times New Roman"/>
          <w:color w:val="000000" w:themeColor="text1"/>
          <w:sz w:val="28"/>
          <w:szCs w:val="28"/>
          <w14:textFill>
            <w14:solidFill>
              <w14:schemeClr w14:val="tx1"/>
            </w14:solidFill>
          </w14:textFill>
        </w:rPr>
        <w:t>，其中</w:t>
      </w:r>
      <w:r>
        <w:rPr>
          <w:rFonts w:hint="eastAsia" w:cs="Times New Roman"/>
          <w:color w:val="000000" w:themeColor="text1"/>
          <w:sz w:val="28"/>
          <w:szCs w:val="28"/>
          <w:lang w:eastAsia="zh-CN"/>
          <w14:textFill>
            <w14:solidFill>
              <w14:schemeClr w14:val="tx1"/>
            </w14:solidFill>
          </w14:textFill>
        </w:rPr>
        <w:t>电镀废渣、废电镀液</w:t>
      </w:r>
      <w:r>
        <w:rPr>
          <w:rFonts w:hint="default" w:ascii="Times New Roman" w:hAnsi="Times New Roman" w:cs="Times New Roman"/>
          <w:color w:val="000000" w:themeColor="text1"/>
          <w:sz w:val="28"/>
          <w:szCs w:val="28"/>
          <w14:textFill>
            <w14:solidFill>
              <w14:schemeClr w14:val="tx1"/>
            </w14:solidFill>
          </w14:textFill>
        </w:rPr>
        <w:t>收集后委托</w:t>
      </w:r>
      <w:r>
        <w:rPr>
          <w:rFonts w:hint="eastAsia" w:cs="Times New Roman"/>
          <w:color w:val="000000" w:themeColor="text1"/>
          <w:sz w:val="28"/>
          <w:szCs w:val="28"/>
          <w:lang w:eastAsia="zh-CN"/>
          <w14:textFill>
            <w14:solidFill>
              <w14:schemeClr w14:val="tx1"/>
            </w14:solidFill>
          </w14:textFill>
        </w:rPr>
        <w:t>平阳县环源污泥处置有限公司</w:t>
      </w:r>
      <w:r>
        <w:rPr>
          <w:rFonts w:hint="default" w:ascii="Times New Roman" w:hAnsi="Times New Roman" w:cs="Times New Roman"/>
          <w:color w:val="000000" w:themeColor="text1"/>
          <w:sz w:val="28"/>
          <w:szCs w:val="28"/>
          <w14:textFill>
            <w14:solidFill>
              <w14:schemeClr w14:val="tx1"/>
            </w14:solidFill>
          </w14:textFill>
        </w:rPr>
        <w:t>清运处置；</w:t>
      </w:r>
      <w:r>
        <w:rPr>
          <w:rFonts w:hint="eastAsia" w:ascii="Times New Roman" w:hAnsi="Times New Roman" w:cs="Times New Roman"/>
          <w:sz w:val="28"/>
          <w:szCs w:val="28"/>
          <w:lang w:val="en-US" w:eastAsia="zh-CN"/>
        </w:rPr>
        <w:t>废包装容器</w:t>
      </w:r>
      <w:r>
        <w:rPr>
          <w:rFonts w:hint="eastAsia" w:cs="Times New Roman"/>
          <w:sz w:val="28"/>
          <w:szCs w:val="28"/>
          <w:lang w:val="en-US" w:eastAsia="zh-CN"/>
        </w:rPr>
        <w:t>委托兰溪自立环保科技有限公司清运处置；</w:t>
      </w:r>
      <w:r>
        <w:rPr>
          <w:rFonts w:hint="eastAsia" w:cs="Times New Roman"/>
          <w:color w:val="000000" w:themeColor="text1"/>
          <w:sz w:val="28"/>
          <w:szCs w:val="28"/>
          <w:lang w:eastAsia="zh-CN"/>
          <w14:textFill>
            <w14:solidFill>
              <w14:schemeClr w14:val="tx1"/>
            </w14:solidFill>
          </w14:textFill>
        </w:rPr>
        <w:t>漆渣、</w:t>
      </w:r>
      <w:r>
        <w:rPr>
          <w:rFonts w:hint="default" w:ascii="Times New Roman" w:hAnsi="Times New Roman" w:cs="Times New Roman"/>
          <w:color w:val="000000" w:themeColor="text1"/>
          <w:sz w:val="28"/>
          <w:szCs w:val="28"/>
          <w14:textFill>
            <w14:solidFill>
              <w14:schemeClr w14:val="tx1"/>
            </w14:solidFill>
          </w14:textFill>
        </w:rPr>
        <w:t>废活性炭暂存，待联系并签订好协议后委托有资质的单位处理；生活垃</w:t>
      </w:r>
      <w:r>
        <w:rPr>
          <w:rFonts w:hint="default" w:ascii="Times New Roman" w:hAnsi="Times New Roman" w:cs="Times New Roman"/>
          <w:sz w:val="28"/>
          <w:szCs w:val="28"/>
        </w:rPr>
        <w:t>圾委托环卫部门清运处理。</w:t>
      </w:r>
      <w:bookmarkEnd w:id="168"/>
      <w:r>
        <w:rPr>
          <w:rFonts w:hint="default" w:ascii="Times New Roman" w:hAnsi="Times New Roman" w:cs="Times New Roman"/>
          <w:sz w:val="28"/>
          <w:szCs w:val="28"/>
        </w:rPr>
        <w:t>固废产生情况及处置见表5-</w:t>
      </w:r>
      <w:r>
        <w:rPr>
          <w:rFonts w:hint="eastAsia" w:cs="Times New Roman"/>
          <w:sz w:val="28"/>
          <w:szCs w:val="28"/>
          <w:lang w:val="en-US" w:eastAsia="zh-CN"/>
        </w:rPr>
        <w:t>3</w:t>
      </w:r>
      <w:r>
        <w:rPr>
          <w:rFonts w:hint="default" w:ascii="Times New Roman" w:hAnsi="Times New Roman" w:cs="Times New Roman"/>
          <w:spacing w:val="-40"/>
          <w:sz w:val="28"/>
          <w:szCs w:val="28"/>
        </w:rPr>
        <w:t>。</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表5-</w:t>
      </w:r>
      <w:r>
        <w:rPr>
          <w:rFonts w:hint="eastAsia" w:eastAsia="楷体" w:cs="Times New Roman"/>
          <w:lang w:val="en-US" w:eastAsia="zh-CN"/>
        </w:rPr>
        <w:t>3</w:t>
      </w:r>
      <w:r>
        <w:rPr>
          <w:rFonts w:hint="default" w:ascii="Times New Roman" w:hAnsi="Times New Roman" w:eastAsia="楷体" w:cs="Times New Roman"/>
        </w:rPr>
        <w:t xml:space="preserve"> 固体废物产生情况汇总表</w:t>
      </w:r>
    </w:p>
    <w:tbl>
      <w:tblPr>
        <w:tblStyle w:val="37"/>
        <w:tblW w:w="774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7"/>
        <w:gridCol w:w="1892"/>
        <w:gridCol w:w="969"/>
        <w:gridCol w:w="969"/>
        <w:gridCol w:w="23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rPr>
                <w:rFonts w:hint="default" w:ascii="Times New Roman" w:hAnsi="Times New Roman" w:cs="Times New Roman"/>
              </w:rPr>
            </w:pPr>
            <w:bookmarkStart w:id="169" w:name="_Toc2867133"/>
            <w:bookmarkStart w:id="170" w:name="_Toc523410789"/>
            <w:r>
              <w:rPr>
                <w:rFonts w:hint="default" w:ascii="Times New Roman" w:hAnsi="Times New Roman" w:cs="Times New Roman"/>
              </w:rPr>
              <w:t>名称</w:t>
            </w:r>
          </w:p>
        </w:tc>
        <w:tc>
          <w:tcPr>
            <w:tcW w:w="1892"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产生工序</w:t>
            </w:r>
          </w:p>
        </w:tc>
        <w:tc>
          <w:tcPr>
            <w:tcW w:w="96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环评产生量 t/a</w:t>
            </w:r>
          </w:p>
        </w:tc>
        <w:tc>
          <w:tcPr>
            <w:tcW w:w="969"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实际产生量 t/a</w:t>
            </w:r>
          </w:p>
        </w:tc>
        <w:tc>
          <w:tcPr>
            <w:tcW w:w="2344"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处置方式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rPr>
                <w:rFonts w:hint="eastAsia" w:ascii="Times New Roman" w:hAnsi="Times New Roman" w:eastAsia="宋体" w:cs="Times New Roman"/>
                <w:lang w:eastAsia="zh-CN"/>
              </w:rPr>
            </w:pPr>
            <w:r>
              <w:rPr>
                <w:rFonts w:hint="eastAsia" w:cs="Times New Roman"/>
                <w:lang w:eastAsia="zh-CN"/>
              </w:rPr>
              <w:t>电镀废渣</w:t>
            </w:r>
          </w:p>
        </w:tc>
        <w:tc>
          <w:tcPr>
            <w:tcW w:w="1892" w:type="dxa"/>
            <w:tcBorders>
              <w:tl2br w:val="nil"/>
              <w:tr2bl w:val="nil"/>
            </w:tcBorders>
            <w:vAlign w:val="center"/>
          </w:tcPr>
          <w:p>
            <w:pPr>
              <w:jc w:val="center"/>
              <w:rPr>
                <w:rFonts w:hint="eastAsia" w:ascii="Times New Roman" w:hAnsi="Times New Roman" w:eastAsia="宋体" w:cs="Times New Roman"/>
                <w:lang w:eastAsia="zh-CN"/>
              </w:rPr>
            </w:pPr>
            <w:r>
              <w:rPr>
                <w:rFonts w:hint="eastAsia" w:cs="Times New Roman"/>
                <w:lang w:eastAsia="zh-CN"/>
              </w:rPr>
              <w:t>电镀</w:t>
            </w:r>
          </w:p>
        </w:tc>
        <w:tc>
          <w:tcPr>
            <w:tcW w:w="969" w:type="dxa"/>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0.5</w:t>
            </w:r>
          </w:p>
        </w:tc>
        <w:tc>
          <w:tcPr>
            <w:tcW w:w="969" w:type="dxa"/>
            <w:vMerge w:val="restart"/>
            <w:tcBorders>
              <w:tl2br w:val="nil"/>
              <w:tr2bl w:val="nil"/>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5</w:t>
            </w:r>
          </w:p>
        </w:tc>
        <w:tc>
          <w:tcPr>
            <w:tcW w:w="2344" w:type="dxa"/>
            <w:vMerge w:val="restar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委托</w:t>
            </w:r>
            <w:r>
              <w:rPr>
                <w:rFonts w:hint="eastAsia" w:ascii="Times New Roman" w:hAnsi="Times New Roman" w:cs="Times New Roman"/>
                <w:lang w:eastAsia="zh-CN"/>
              </w:rPr>
              <w:t>平阳县环源污泥处置有限公司</w:t>
            </w:r>
            <w:r>
              <w:rPr>
                <w:rFonts w:hint="default" w:ascii="Times New Roman" w:hAnsi="Times New Roman" w:cs="Times New Roman"/>
              </w:rPr>
              <w:t>清运处置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eastAsia="zh-CN"/>
              </w:rPr>
              <w:t>废电镀液</w:t>
            </w:r>
          </w:p>
        </w:tc>
        <w:tc>
          <w:tcPr>
            <w:tcW w:w="1892"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eastAsia="zh-CN"/>
              </w:rPr>
              <w:t>电镀</w:t>
            </w:r>
          </w:p>
        </w:tc>
        <w:tc>
          <w:tcPr>
            <w:tcW w:w="969"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2</w:t>
            </w:r>
          </w:p>
        </w:tc>
        <w:tc>
          <w:tcPr>
            <w:tcW w:w="969" w:type="dxa"/>
            <w:vMerge w:val="continue"/>
            <w:tcBorders>
              <w:tl2br w:val="nil"/>
              <w:tr2bl w:val="nil"/>
            </w:tcBorders>
            <w:vAlign w:val="center"/>
          </w:tcPr>
          <w:p>
            <w:pPr>
              <w:jc w:val="center"/>
              <w:rPr>
                <w:rFonts w:hint="default" w:ascii="Times New Roman" w:hAnsi="Times New Roman" w:cs="Times New Roman"/>
              </w:rPr>
            </w:pPr>
          </w:p>
        </w:tc>
        <w:tc>
          <w:tcPr>
            <w:tcW w:w="2344" w:type="dxa"/>
            <w:vMerge w:val="continue"/>
            <w:tcBorders>
              <w:tl2br w:val="nil"/>
              <w:tr2bl w:val="nil"/>
            </w:tcBorders>
            <w:vAlign w:val="center"/>
          </w:tcPr>
          <w:p>
            <w:pPr>
              <w:jc w:val="center"/>
              <w:rPr>
                <w:rFonts w:hint="default" w:ascii="Times New Roman" w:hAnsi="Times New Roman" w:cs="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废包装容器</w:t>
            </w:r>
          </w:p>
        </w:tc>
        <w:tc>
          <w:tcPr>
            <w:tcW w:w="1892"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原料使用</w:t>
            </w:r>
          </w:p>
        </w:tc>
        <w:tc>
          <w:tcPr>
            <w:tcW w:w="969"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0.1</w:t>
            </w:r>
          </w:p>
        </w:tc>
        <w:tc>
          <w:tcPr>
            <w:tcW w:w="969"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rPr>
              <w:t>0.</w:t>
            </w:r>
            <w:r>
              <w:rPr>
                <w:rFonts w:hint="eastAsia" w:cs="Times New Roman"/>
                <w:lang w:val="en-US" w:eastAsia="zh-CN"/>
              </w:rPr>
              <w:t>1</w:t>
            </w:r>
          </w:p>
        </w:tc>
        <w:tc>
          <w:tcPr>
            <w:tcW w:w="2344" w:type="dxa"/>
            <w:tcBorders>
              <w:tl2br w:val="nil"/>
              <w:tr2bl w:val="nil"/>
            </w:tcBorders>
            <w:vAlign w:val="center"/>
          </w:tcPr>
          <w:p>
            <w:pPr>
              <w:jc w:val="center"/>
              <w:rPr>
                <w:rFonts w:hint="eastAsia" w:ascii="Times New Roman" w:hAnsi="Times New Roman" w:eastAsia="宋体" w:cs="Times New Roman"/>
                <w:lang w:eastAsia="zh-CN"/>
              </w:rPr>
            </w:pPr>
            <w:r>
              <w:rPr>
                <w:rFonts w:hint="eastAsia" w:cs="Times New Roman"/>
                <w:lang w:eastAsia="zh-CN"/>
              </w:rPr>
              <w:t>委托兰溪自立环保科技有限公司清运处置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67"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color w:val="auto"/>
                <w:sz w:val="21"/>
                <w:szCs w:val="24"/>
                <w:lang w:eastAsia="zh-CN"/>
              </w:rPr>
              <w:t>漆渣、</w:t>
            </w:r>
            <w:r>
              <w:rPr>
                <w:rFonts w:hint="eastAsia" w:ascii="Times New Roman" w:hAnsi="Times New Roman" w:cs="Times New Roman"/>
                <w:lang w:eastAsia="zh-CN"/>
              </w:rPr>
              <w:t>废活性炭</w:t>
            </w:r>
          </w:p>
        </w:tc>
        <w:tc>
          <w:tcPr>
            <w:tcW w:w="1892" w:type="dxa"/>
            <w:tcBorders>
              <w:tl2br w:val="nil"/>
              <w:tr2bl w:val="nil"/>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废气处理</w:t>
            </w:r>
          </w:p>
        </w:tc>
        <w:tc>
          <w:tcPr>
            <w:tcW w:w="969"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0.5</w:t>
            </w:r>
          </w:p>
        </w:tc>
        <w:tc>
          <w:tcPr>
            <w:tcW w:w="969" w:type="dxa"/>
            <w:tcBorders>
              <w:tl2br w:val="nil"/>
              <w:tr2bl w:val="nil"/>
            </w:tcBorders>
            <w:vAlign w:val="center"/>
          </w:tcPr>
          <w:p>
            <w:pPr>
              <w:jc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0.5</w:t>
            </w:r>
          </w:p>
        </w:tc>
        <w:tc>
          <w:tcPr>
            <w:tcW w:w="2344" w:type="dxa"/>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rPr>
              <w:t>自行暂存，待联系并签订好协议后委托有资质的单位处理</w:t>
            </w:r>
          </w:p>
        </w:tc>
      </w:tr>
    </w:tbl>
    <w:p>
      <w:pPr>
        <w:pStyle w:val="34"/>
        <w:spacing w:beforeLines="0"/>
        <w:rPr>
          <w:rFonts w:hint="default" w:ascii="Times New Roman" w:hAnsi="Times New Roman" w:cs="Times New Roman"/>
          <w:sz w:val="10"/>
          <w:szCs w:val="1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0" w:type="dxa"/>
            <w:vAlign w:val="center"/>
          </w:tcPr>
          <w:p>
            <w:pPr>
              <w:jc w:val="center"/>
              <w:rPr>
                <w:rFonts w:hint="eastAsia" w:cs="Times New Roman"/>
                <w:lang w:eastAsia="zh-CN"/>
              </w:rPr>
            </w:pPr>
            <w:r>
              <w:rPr>
                <w:rFonts w:hint="eastAsia" w:cs="Times New Roman"/>
                <w:lang w:eastAsia="zh-CN"/>
              </w:rPr>
              <w:t>危废暂存间</w:t>
            </w:r>
          </w:p>
        </w:tc>
      </w:tr>
    </w:tbl>
    <w:p>
      <w:pPr>
        <w:pStyle w:val="34"/>
        <w:spacing w:beforeLines="0"/>
        <w:jc w:val="center"/>
        <w:rPr>
          <w:rFonts w:hint="default" w:ascii="Times New Roman" w:hAnsi="Times New Roman" w:cs="Times New Roman"/>
        </w:rPr>
      </w:pPr>
    </w:p>
    <w:p>
      <w:pPr>
        <w:pStyle w:val="34"/>
        <w:spacing w:beforeLines="0"/>
        <w:rPr>
          <w:rFonts w:hint="default" w:ascii="Times New Roman" w:hAnsi="Times New Roman" w:eastAsia="楷体_GB2312" w:cs="Times New Roman"/>
          <w:szCs w:val="28"/>
        </w:rPr>
      </w:pPr>
      <w:r>
        <w:rPr>
          <w:rFonts w:hint="default" w:ascii="Times New Roman" w:hAnsi="Times New Roman" w:cs="Times New Roman"/>
        </w:rPr>
        <w:t>5.2 其他环保设施</w:t>
      </w:r>
      <w:bookmarkEnd w:id="169"/>
      <w:bookmarkEnd w:id="170"/>
    </w:p>
    <w:p>
      <w:pPr>
        <w:pStyle w:val="5"/>
        <w:rPr>
          <w:rFonts w:hint="default" w:ascii="Times New Roman" w:hAnsi="Times New Roman" w:cs="Times New Roman"/>
        </w:rPr>
      </w:pPr>
      <w:r>
        <w:rPr>
          <w:rFonts w:hint="default" w:ascii="Times New Roman" w:hAnsi="Times New Roman" w:cs="Times New Roman"/>
        </w:rPr>
        <w:t>5.2.1 环境风险防范</w:t>
      </w:r>
    </w:p>
    <w:p>
      <w:pPr>
        <w:tabs>
          <w:tab w:val="left" w:pos="757"/>
        </w:tabs>
        <w:spacing w:line="360" w:lineRule="auto"/>
        <w:ind w:firstLine="560" w:firstLineChars="200"/>
        <w:jc w:val="left"/>
        <w:rPr>
          <w:rFonts w:hint="default" w:ascii="Times New Roman" w:hAnsi="Times New Roman" w:cs="Times New Roman"/>
          <w:sz w:val="28"/>
          <w:szCs w:val="28"/>
        </w:rPr>
      </w:pPr>
      <w:r>
        <w:rPr>
          <w:rFonts w:hint="eastAsia" w:ascii="Times New Roman" w:hAnsi="Times New Roman" w:cs="Times New Roman"/>
          <w:color w:val="000000"/>
          <w:sz w:val="28"/>
          <w:szCs w:val="28"/>
          <w:lang w:val="en-US" w:eastAsia="zh-CN"/>
        </w:rPr>
        <w:t>本项目已编制突发环已境事件应急预案</w:t>
      </w:r>
      <w:r>
        <w:rPr>
          <w:rFonts w:hint="default" w:ascii="Times New Roman" w:hAnsi="Times New Roman" w:cs="Times New Roman"/>
          <w:color w:val="000000"/>
          <w:sz w:val="28"/>
          <w:szCs w:val="28"/>
          <w:lang w:eastAsia="zh-CN"/>
        </w:rPr>
        <w:t>。</w:t>
      </w:r>
    </w:p>
    <w:p>
      <w:pPr>
        <w:pStyle w:val="5"/>
        <w:rPr>
          <w:rFonts w:hint="default" w:ascii="Times New Roman" w:hAnsi="Times New Roman" w:cs="Times New Roman"/>
        </w:rPr>
      </w:pPr>
      <w:r>
        <w:rPr>
          <w:rFonts w:hint="default" w:ascii="Times New Roman" w:hAnsi="Times New Roman" w:cs="Times New Roman"/>
        </w:rPr>
        <w:t>5.2.2 在线监测装置</w:t>
      </w:r>
    </w:p>
    <w:p>
      <w:pPr>
        <w:tabs>
          <w:tab w:val="left" w:pos="757"/>
        </w:tabs>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企业目前无在线监测装置。</w:t>
      </w:r>
    </w:p>
    <w:p>
      <w:pPr>
        <w:pStyle w:val="5"/>
        <w:rPr>
          <w:rFonts w:hint="default" w:ascii="Times New Roman" w:hAnsi="Times New Roman" w:cs="Times New Roman"/>
        </w:rPr>
      </w:pPr>
      <w:r>
        <w:rPr>
          <w:rFonts w:hint="default" w:ascii="Times New Roman" w:hAnsi="Times New Roman" w:cs="Times New Roman"/>
        </w:rPr>
        <w:t>5.2.3 其他设施</w:t>
      </w:r>
    </w:p>
    <w:p>
      <w:pPr>
        <w:tabs>
          <w:tab w:val="left" w:pos="757"/>
        </w:tabs>
        <w:spacing w:line="360" w:lineRule="auto"/>
        <w:ind w:firstLine="560" w:firstLineChars="200"/>
        <w:rPr>
          <w:rFonts w:hint="default" w:ascii="Times New Roman" w:hAnsi="Times New Roman" w:cs="Times New Roman"/>
          <w:sz w:val="28"/>
          <w:szCs w:val="28"/>
        </w:rPr>
      </w:pPr>
      <w:r>
        <w:rPr>
          <w:rFonts w:hint="eastAsia" w:cs="Times New Roman"/>
          <w:color w:val="000000"/>
          <w:sz w:val="28"/>
          <w:szCs w:val="28"/>
          <w:lang w:eastAsia="zh-CN"/>
        </w:rPr>
        <w:t>改建</w:t>
      </w:r>
      <w:r>
        <w:rPr>
          <w:rFonts w:hint="default" w:ascii="Times New Roman" w:hAnsi="Times New Roman" w:cs="Times New Roman"/>
          <w:color w:val="000000"/>
          <w:sz w:val="28"/>
          <w:szCs w:val="28"/>
        </w:rPr>
        <w:t>项目环境影响</w:t>
      </w:r>
      <w:r>
        <w:rPr>
          <w:rFonts w:hint="default" w:ascii="Times New Roman" w:hAnsi="Times New Roman" w:cs="Times New Roman"/>
          <w:color w:val="000000"/>
          <w:sz w:val="28"/>
          <w:szCs w:val="28"/>
          <w:lang w:eastAsia="zh-CN"/>
        </w:rPr>
        <w:t>报告书</w:t>
      </w:r>
      <w:r>
        <w:rPr>
          <w:rFonts w:hint="default" w:ascii="Times New Roman" w:hAnsi="Times New Roman" w:cs="Times New Roman"/>
          <w:sz w:val="28"/>
          <w:szCs w:val="28"/>
        </w:rPr>
        <w:t>及</w:t>
      </w:r>
      <w:r>
        <w:rPr>
          <w:rFonts w:hint="default" w:ascii="Times New Roman" w:hAnsi="Times New Roman" w:cs="Times New Roman"/>
          <w:color w:val="000000"/>
          <w:sz w:val="28"/>
          <w:szCs w:val="28"/>
        </w:rPr>
        <w:t>审批部门审批决定中对其他环保设施无要求</w:t>
      </w:r>
      <w:r>
        <w:rPr>
          <w:rFonts w:hint="default" w:ascii="Times New Roman" w:hAnsi="Times New Roman" w:cs="Times New Roman"/>
          <w:color w:val="000000"/>
          <w:spacing w:val="-40"/>
          <w:sz w:val="28"/>
          <w:szCs w:val="28"/>
        </w:rPr>
        <w:t>。</w:t>
      </w:r>
    </w:p>
    <w:p>
      <w:pPr>
        <w:tabs>
          <w:tab w:val="left" w:pos="757"/>
        </w:tabs>
        <w:spacing w:line="360" w:lineRule="auto"/>
        <w:jc w:val="left"/>
        <w:rPr>
          <w:rFonts w:hint="default" w:ascii="Times New Roman" w:hAnsi="Times New Roman" w:cs="Times New Roman"/>
          <w:sz w:val="28"/>
          <w:szCs w:val="28"/>
        </w:rPr>
      </w:pPr>
      <w:bookmarkStart w:id="171" w:name="_Toc523410790"/>
      <w:bookmarkStart w:id="172" w:name="_Toc2867134"/>
      <w:r>
        <w:rPr>
          <w:rFonts w:hint="default" w:ascii="Times New Roman" w:hAnsi="Times New Roman" w:cs="Times New Roman"/>
          <w:b/>
          <w:bCs/>
          <w:sz w:val="28"/>
          <w:szCs w:val="28"/>
        </w:rPr>
        <w:t>5.2.3 排污许可证、排污权证</w:t>
      </w:r>
    </w:p>
    <w:p>
      <w:pPr>
        <w:pStyle w:val="34"/>
        <w:spacing w:beforeLines="0"/>
        <w:rPr>
          <w:rFonts w:hint="default" w:ascii="Times New Roman" w:hAnsi="Times New Roman" w:cs="Times New Roman"/>
        </w:rPr>
      </w:pPr>
      <w:r>
        <w:rPr>
          <w:rFonts w:hint="default" w:ascii="Times New Roman" w:hAnsi="Times New Roman" w:cs="Times New Roman"/>
          <w:b w:val="0"/>
          <w:bCs w:val="0"/>
          <w:color w:val="000000"/>
          <w:sz w:val="28"/>
          <w:szCs w:val="28"/>
        </w:rPr>
        <w:t>企业已取得排污许可证，排污许可证编号：913303265917</w:t>
      </w:r>
      <w:r>
        <w:rPr>
          <w:rFonts w:hint="eastAsia" w:cs="Times New Roman"/>
          <w:b w:val="0"/>
          <w:bCs w:val="0"/>
          <w:color w:val="000000"/>
          <w:sz w:val="28"/>
          <w:szCs w:val="28"/>
          <w:lang w:val="en-US" w:eastAsia="zh-CN"/>
        </w:rPr>
        <w:t>675360001P</w:t>
      </w:r>
      <w:r>
        <w:rPr>
          <w:rFonts w:hint="default" w:ascii="Times New Roman" w:hAnsi="Times New Roman" w:cs="Times New Roman"/>
          <w:b w:val="0"/>
          <w:bCs w:val="0"/>
          <w:color w:val="000000"/>
          <w:sz w:val="28"/>
          <w:szCs w:val="28"/>
        </w:rPr>
        <w:t>。</w:t>
      </w:r>
    </w:p>
    <w:p>
      <w:pPr>
        <w:pStyle w:val="34"/>
        <w:spacing w:beforeLines="0"/>
        <w:rPr>
          <w:rFonts w:hint="default" w:ascii="Times New Roman" w:hAnsi="Times New Roman" w:cs="Times New Roman"/>
        </w:rPr>
      </w:pPr>
      <w:r>
        <w:rPr>
          <w:rFonts w:hint="default" w:ascii="Times New Roman" w:hAnsi="Times New Roman" w:cs="Times New Roman"/>
        </w:rPr>
        <w:t>5.3 环保设施投资及“三同时”落实情况</w:t>
      </w:r>
      <w:bookmarkEnd w:id="171"/>
      <w:bookmarkEnd w:id="172"/>
    </w:p>
    <w:p>
      <w:pPr>
        <w:tabs>
          <w:tab w:val="left" w:pos="757"/>
        </w:tabs>
        <w:spacing w:line="360" w:lineRule="auto"/>
        <w:ind w:firstLine="560" w:firstLineChars="200"/>
        <w:rPr>
          <w:rFonts w:hint="default" w:ascii="Times New Roman" w:hAnsi="Times New Roman" w:cs="Times New Roman"/>
          <w:sz w:val="28"/>
        </w:rPr>
      </w:pPr>
      <w:r>
        <w:rPr>
          <w:rFonts w:hint="eastAsia" w:cs="Times New Roman"/>
          <w:sz w:val="28"/>
          <w:lang w:eastAsia="zh-CN"/>
        </w:rPr>
        <w:t>改建</w:t>
      </w:r>
      <w:r>
        <w:rPr>
          <w:rFonts w:hint="default" w:ascii="Times New Roman" w:hAnsi="Times New Roman" w:cs="Times New Roman"/>
          <w:sz w:val="28"/>
        </w:rPr>
        <w:t>项目实际投资</w:t>
      </w:r>
      <w:r>
        <w:rPr>
          <w:rFonts w:hint="eastAsia" w:cs="Times New Roman"/>
          <w:sz w:val="28"/>
          <w:lang w:val="en-US" w:eastAsia="zh-CN"/>
        </w:rPr>
        <w:t>150</w:t>
      </w:r>
      <w:r>
        <w:rPr>
          <w:rFonts w:hint="default" w:ascii="Times New Roman" w:hAnsi="Times New Roman" w:cs="Times New Roman"/>
          <w:sz w:val="28"/>
        </w:rPr>
        <w:t>万元</w:t>
      </w:r>
      <w:r>
        <w:rPr>
          <w:rFonts w:hint="default" w:ascii="Times New Roman" w:hAnsi="Times New Roman" w:cs="Times New Roman"/>
          <w:spacing w:val="-40"/>
          <w:sz w:val="28"/>
          <w:szCs w:val="28"/>
        </w:rPr>
        <w:t>，</w:t>
      </w:r>
      <w:r>
        <w:rPr>
          <w:rFonts w:hint="default" w:ascii="Times New Roman" w:hAnsi="Times New Roman" w:cs="Times New Roman"/>
          <w:sz w:val="28"/>
        </w:rPr>
        <w:t>其中环保设施投资</w:t>
      </w:r>
      <w:r>
        <w:rPr>
          <w:rFonts w:hint="eastAsia" w:cs="Times New Roman"/>
          <w:sz w:val="28"/>
          <w:lang w:val="en-US" w:eastAsia="zh-CN"/>
        </w:rPr>
        <w:t>30</w:t>
      </w:r>
      <w:r>
        <w:rPr>
          <w:rFonts w:hint="default" w:ascii="Times New Roman" w:hAnsi="Times New Roman" w:cs="Times New Roman"/>
          <w:sz w:val="28"/>
        </w:rPr>
        <w:t>万元</w:t>
      </w:r>
      <w:r>
        <w:rPr>
          <w:rFonts w:hint="default" w:ascii="Times New Roman" w:hAnsi="Times New Roman" w:cs="Times New Roman"/>
          <w:spacing w:val="-40"/>
          <w:sz w:val="28"/>
          <w:szCs w:val="28"/>
        </w:rPr>
        <w:t>，</w:t>
      </w:r>
      <w:r>
        <w:rPr>
          <w:rFonts w:hint="default" w:ascii="Times New Roman" w:hAnsi="Times New Roman" w:cs="Times New Roman"/>
          <w:sz w:val="28"/>
        </w:rPr>
        <w:t>占总投资的</w:t>
      </w:r>
      <w:r>
        <w:rPr>
          <w:rFonts w:hint="eastAsia" w:cs="Times New Roman"/>
          <w:sz w:val="28"/>
          <w:lang w:val="en-US" w:eastAsia="zh-CN"/>
        </w:rPr>
        <w:t>20</w:t>
      </w:r>
      <w:r>
        <w:rPr>
          <w:rFonts w:hint="default" w:ascii="Times New Roman" w:hAnsi="Times New Roman" w:cs="Times New Roman"/>
          <w:sz w:val="28"/>
        </w:rPr>
        <w:t>%</w:t>
      </w:r>
      <w:r>
        <w:rPr>
          <w:rFonts w:hint="default" w:ascii="Times New Roman" w:hAnsi="Times New Roman" w:cs="Times New Roman"/>
          <w:spacing w:val="-40"/>
          <w:sz w:val="28"/>
          <w:szCs w:val="28"/>
        </w:rPr>
        <w:t>。</w:t>
      </w:r>
      <w:r>
        <w:rPr>
          <w:rFonts w:hint="default" w:ascii="Times New Roman" w:hAnsi="Times New Roman" w:cs="Times New Roman"/>
          <w:sz w:val="28"/>
          <w:szCs w:val="28"/>
        </w:rPr>
        <w:t>项目</w:t>
      </w:r>
      <w:r>
        <w:rPr>
          <w:rFonts w:hint="default" w:ascii="Times New Roman" w:hAnsi="Times New Roman" w:cs="Times New Roman"/>
          <w:color w:val="000000"/>
          <w:sz w:val="28"/>
          <w:szCs w:val="28"/>
        </w:rPr>
        <w:t>环保投资情况见表5-</w:t>
      </w:r>
      <w:r>
        <w:rPr>
          <w:rFonts w:hint="eastAsia" w:cs="Times New Roman"/>
          <w:color w:val="000000"/>
          <w:sz w:val="28"/>
          <w:szCs w:val="28"/>
          <w:lang w:val="en-US" w:eastAsia="zh-CN"/>
        </w:rPr>
        <w:t>4</w:t>
      </w:r>
      <w:r>
        <w:rPr>
          <w:rFonts w:hint="default" w:ascii="Times New Roman" w:hAnsi="Times New Roman" w:cs="Times New Roman"/>
          <w:spacing w:val="-40"/>
          <w:sz w:val="28"/>
          <w:szCs w:val="28"/>
        </w:rPr>
        <w:t>。</w:t>
      </w:r>
      <w:r>
        <w:rPr>
          <w:rFonts w:hint="default" w:ascii="Times New Roman" w:hAnsi="Times New Roman" w:cs="Times New Roman"/>
          <w:sz w:val="28"/>
        </w:rPr>
        <w:t>该公司已制定环保管理制度，有专门的环保管理人员。</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表5-</w:t>
      </w:r>
      <w:r>
        <w:rPr>
          <w:rFonts w:hint="eastAsia" w:eastAsia="楷体" w:cs="Times New Roman"/>
          <w:lang w:val="en-US" w:eastAsia="zh-CN"/>
        </w:rPr>
        <w:t>4</w:t>
      </w:r>
      <w:r>
        <w:rPr>
          <w:rFonts w:hint="default" w:ascii="Times New Roman" w:hAnsi="Times New Roman" w:eastAsia="楷体" w:cs="Times New Roman"/>
        </w:rPr>
        <w:t xml:space="preserve"> 工程环保设施投资情况表</w:t>
      </w:r>
    </w:p>
    <w:tbl>
      <w:tblPr>
        <w:tblStyle w:val="37"/>
        <w:tblW w:w="6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13"/>
        <w:gridCol w:w="3166"/>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环保设施名称</w:t>
            </w:r>
          </w:p>
        </w:tc>
        <w:tc>
          <w:tcPr>
            <w:tcW w:w="316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治理措施</w:t>
            </w:r>
          </w:p>
        </w:tc>
        <w:tc>
          <w:tcPr>
            <w:tcW w:w="1710"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实际投资(万元)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废水治理</w:t>
            </w:r>
          </w:p>
        </w:tc>
        <w:tc>
          <w:tcPr>
            <w:tcW w:w="3166"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废水储存罐</w:t>
            </w:r>
          </w:p>
        </w:tc>
        <w:tc>
          <w:tcPr>
            <w:tcW w:w="1710" w:type="dxa"/>
            <w:vAlign w:val="center"/>
          </w:tcPr>
          <w:p>
            <w:pPr>
              <w:pStyle w:val="70"/>
              <w:spacing w:line="240" w:lineRule="auto"/>
              <w:rPr>
                <w:rFonts w:hint="eastAsia" w:ascii="Times New Roman" w:hAnsi="Times New Roman" w:eastAsia="宋体" w:cs="Times New Roman"/>
                <w:color w:val="000000"/>
                <w:kern w:val="2"/>
                <w:szCs w:val="21"/>
                <w:lang w:eastAsia="zh-CN"/>
              </w:rPr>
            </w:pPr>
            <w:r>
              <w:rPr>
                <w:rFonts w:hint="eastAsia" w:cs="Times New Roman"/>
                <w:color w:val="000000"/>
                <w:kern w:val="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废气治理</w:t>
            </w:r>
          </w:p>
        </w:tc>
        <w:tc>
          <w:tcPr>
            <w:tcW w:w="3166" w:type="dxa"/>
            <w:vAlign w:val="center"/>
          </w:tcPr>
          <w:p>
            <w:pPr>
              <w:pStyle w:val="70"/>
              <w:spacing w:line="240" w:lineRule="auto"/>
              <w:rPr>
                <w:rFonts w:hint="eastAsia" w:ascii="Times New Roman" w:hAnsi="Times New Roman" w:eastAsia="宋体" w:cs="Times New Roman"/>
                <w:color w:val="000000"/>
                <w:kern w:val="2"/>
                <w:szCs w:val="21"/>
                <w:lang w:eastAsia="zh-CN"/>
              </w:rPr>
            </w:pPr>
            <w:r>
              <w:rPr>
                <w:rFonts w:hint="default" w:ascii="Times New Roman" w:hAnsi="Times New Roman" w:cs="Times New Roman"/>
                <w:color w:val="000000"/>
                <w:kern w:val="2"/>
                <w:szCs w:val="21"/>
              </w:rPr>
              <w:t>水喷淋塔、</w:t>
            </w:r>
            <w:r>
              <w:rPr>
                <w:rFonts w:hint="default" w:ascii="Times New Roman" w:hAnsi="Times New Roman" w:cs="Times New Roman"/>
                <w:spacing w:val="-4"/>
                <w:szCs w:val="21"/>
              </w:rPr>
              <w:t>水帘+UV光解+活性炭吸附设备</w:t>
            </w:r>
            <w:r>
              <w:rPr>
                <w:rFonts w:hint="eastAsia" w:cs="Times New Roman"/>
                <w:spacing w:val="-4"/>
                <w:szCs w:val="21"/>
                <w:lang w:eastAsia="zh-CN"/>
              </w:rPr>
              <w:t>、管道、集气罩</w:t>
            </w:r>
          </w:p>
        </w:tc>
        <w:tc>
          <w:tcPr>
            <w:tcW w:w="1710" w:type="dxa"/>
            <w:vAlign w:val="center"/>
          </w:tcPr>
          <w:p>
            <w:pPr>
              <w:pStyle w:val="70"/>
              <w:spacing w:line="240" w:lineRule="auto"/>
              <w:rPr>
                <w:rFonts w:hint="default" w:ascii="Times New Roman" w:hAnsi="Times New Roman" w:eastAsia="宋体" w:cs="Times New Roman"/>
                <w:color w:val="000000"/>
                <w:kern w:val="2"/>
                <w:szCs w:val="21"/>
                <w:lang w:val="en-US" w:eastAsia="zh-CN"/>
              </w:rPr>
            </w:pPr>
            <w:r>
              <w:rPr>
                <w:rFonts w:hint="eastAsia" w:cs="Times New Roman"/>
                <w:color w:val="000000"/>
                <w:kern w:val="2"/>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噪声防治</w:t>
            </w:r>
          </w:p>
        </w:tc>
        <w:tc>
          <w:tcPr>
            <w:tcW w:w="3166"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szCs w:val="21"/>
              </w:rPr>
              <w:t>消声、减振、隔声</w:t>
            </w:r>
          </w:p>
        </w:tc>
        <w:tc>
          <w:tcPr>
            <w:tcW w:w="1710" w:type="dxa"/>
            <w:vAlign w:val="center"/>
          </w:tcPr>
          <w:p>
            <w:pPr>
              <w:pStyle w:val="70"/>
              <w:spacing w:line="240" w:lineRule="auto"/>
              <w:rPr>
                <w:rFonts w:hint="eastAsia" w:ascii="Times New Roman" w:hAnsi="Times New Roman" w:eastAsia="宋体" w:cs="Times New Roman"/>
                <w:color w:val="000000"/>
                <w:kern w:val="2"/>
                <w:szCs w:val="21"/>
                <w:lang w:eastAsia="zh-CN"/>
              </w:rPr>
            </w:pPr>
            <w:r>
              <w:rPr>
                <w:rFonts w:hint="eastAsia" w:cs="Times New Roman"/>
                <w:color w:val="000000"/>
                <w:kern w:val="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513"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固废治理</w:t>
            </w:r>
          </w:p>
        </w:tc>
        <w:tc>
          <w:tcPr>
            <w:tcW w:w="3166"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szCs w:val="21"/>
              </w:rPr>
              <w:t>生活垃圾清运、危废委托处理等</w:t>
            </w:r>
          </w:p>
        </w:tc>
        <w:tc>
          <w:tcPr>
            <w:tcW w:w="1710" w:type="dxa"/>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679" w:type="dxa"/>
            <w:gridSpan w:val="2"/>
            <w:vAlign w:val="center"/>
          </w:tcPr>
          <w:p>
            <w:pPr>
              <w:pStyle w:val="70"/>
              <w:spacing w:line="240" w:lineRule="auto"/>
              <w:rPr>
                <w:rFonts w:hint="default" w:ascii="Times New Roman" w:hAnsi="Times New Roman" w:cs="Times New Roman"/>
                <w:color w:val="000000"/>
                <w:kern w:val="2"/>
                <w:szCs w:val="21"/>
              </w:rPr>
            </w:pPr>
            <w:r>
              <w:rPr>
                <w:rFonts w:hint="default" w:ascii="Times New Roman" w:hAnsi="Times New Roman" w:cs="Times New Roman"/>
                <w:color w:val="000000"/>
                <w:kern w:val="2"/>
                <w:szCs w:val="21"/>
              </w:rPr>
              <w:t>合  计</w:t>
            </w:r>
          </w:p>
        </w:tc>
        <w:tc>
          <w:tcPr>
            <w:tcW w:w="1710" w:type="dxa"/>
            <w:vAlign w:val="center"/>
          </w:tcPr>
          <w:p>
            <w:pPr>
              <w:pStyle w:val="70"/>
              <w:spacing w:line="240" w:lineRule="auto"/>
              <w:rPr>
                <w:rFonts w:hint="default" w:ascii="Times New Roman" w:hAnsi="Times New Roman" w:eastAsia="宋体" w:cs="Times New Roman"/>
                <w:color w:val="000000"/>
                <w:kern w:val="2"/>
                <w:szCs w:val="21"/>
                <w:lang w:val="en-US" w:eastAsia="zh-CN"/>
              </w:rPr>
            </w:pPr>
            <w:r>
              <w:rPr>
                <w:rFonts w:hint="eastAsia" w:cs="Times New Roman"/>
                <w:color w:val="000000"/>
                <w:kern w:val="2"/>
                <w:szCs w:val="21"/>
                <w:lang w:val="en-US" w:eastAsia="zh-CN"/>
              </w:rPr>
              <w:t>30</w:t>
            </w:r>
          </w:p>
        </w:tc>
      </w:tr>
    </w:tbl>
    <w:p>
      <w:pPr>
        <w:tabs>
          <w:tab w:val="left" w:pos="757"/>
        </w:tabs>
        <w:spacing w:line="360" w:lineRule="auto"/>
        <w:ind w:firstLine="560" w:firstLineChars="200"/>
        <w:rPr>
          <w:rFonts w:hint="default" w:ascii="Times New Roman" w:hAnsi="Times New Roman" w:cs="Times New Roman"/>
          <w:sz w:val="28"/>
          <w:szCs w:val="28"/>
        </w:rPr>
        <w:sectPr>
          <w:headerReference r:id="rId8" w:type="default"/>
          <w:footerReference r:id="rId9" w:type="default"/>
          <w:pgSz w:w="11907" w:h="16840"/>
          <w:pgMar w:top="1418" w:right="1418" w:bottom="1021" w:left="1418" w:header="851" w:footer="794" w:gutter="284"/>
          <w:pgNumType w:start="1"/>
          <w:cols w:space="720" w:num="1"/>
          <w:docGrid w:linePitch="289" w:charSpace="0"/>
        </w:sectPr>
      </w:pPr>
      <w:r>
        <w:rPr>
          <w:rFonts w:hint="default" w:ascii="Times New Roman" w:hAnsi="Times New Roman" w:cs="Times New Roman"/>
          <w:sz w:val="28"/>
          <w:lang w:eastAsia="zh-CN"/>
        </w:rPr>
        <w:t>平阳县万鹏表面处理有限公司年产6000吨五金件产品项目</w:t>
      </w:r>
      <w:r>
        <w:rPr>
          <w:rFonts w:hint="default" w:ascii="Times New Roman" w:hAnsi="Times New Roman" w:cs="Times New Roman"/>
          <w:sz w:val="28"/>
        </w:rPr>
        <w:t>执行了国家环境保护“三同时”的有关规定，做到了环保设施与项目同时设计，同时施工，同时投入运行。本项目环保设施环评要求、批复要求、实际建设情况见</w:t>
      </w:r>
      <w:r>
        <w:rPr>
          <w:rFonts w:hint="default" w:ascii="Times New Roman" w:hAnsi="Times New Roman" w:cs="Times New Roman"/>
          <w:sz w:val="28"/>
          <w:szCs w:val="28"/>
        </w:rPr>
        <w:t>表5-</w:t>
      </w:r>
      <w:r>
        <w:rPr>
          <w:rFonts w:hint="eastAsia" w:cs="Times New Roman"/>
          <w:sz w:val="28"/>
          <w:szCs w:val="28"/>
          <w:lang w:val="en-US" w:eastAsia="zh-CN"/>
        </w:rPr>
        <w:t>5</w:t>
      </w:r>
      <w:r>
        <w:rPr>
          <w:rFonts w:hint="default" w:ascii="Times New Roman" w:hAnsi="Times New Roman" w:cs="Times New Roman"/>
          <w:sz w:val="28"/>
          <w:szCs w:val="28"/>
        </w:rPr>
        <w:t>。</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表5-</w:t>
      </w:r>
      <w:r>
        <w:rPr>
          <w:rFonts w:hint="eastAsia" w:eastAsia="楷体" w:cs="Times New Roman"/>
          <w:lang w:val="en-US" w:eastAsia="zh-CN"/>
        </w:rPr>
        <w:t>5</w:t>
      </w:r>
      <w:r>
        <w:rPr>
          <w:rFonts w:hint="default" w:ascii="Times New Roman" w:hAnsi="Times New Roman" w:eastAsia="楷体" w:cs="Times New Roman"/>
        </w:rPr>
        <w:t xml:space="preserve"> 环评</w:t>
      </w:r>
      <w:r>
        <w:rPr>
          <w:rFonts w:hint="eastAsia" w:ascii="Times New Roman" w:hAnsi="Times New Roman" w:eastAsia="楷体" w:cs="Times New Roman"/>
          <w:lang w:eastAsia="zh-CN"/>
        </w:rPr>
        <w:t>、批复</w:t>
      </w:r>
      <w:r>
        <w:rPr>
          <w:rFonts w:hint="default" w:ascii="Times New Roman" w:hAnsi="Times New Roman" w:eastAsia="楷体" w:cs="Times New Roman"/>
        </w:rPr>
        <w:t>意见落实情况表</w:t>
      </w:r>
    </w:p>
    <w:tbl>
      <w:tblPr>
        <w:tblStyle w:val="37"/>
        <w:tblW w:w="13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274"/>
        <w:gridCol w:w="476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01"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类别</w:t>
            </w:r>
          </w:p>
        </w:tc>
        <w:tc>
          <w:tcPr>
            <w:tcW w:w="3274"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环评要求</w:t>
            </w:r>
          </w:p>
        </w:tc>
        <w:tc>
          <w:tcPr>
            <w:tcW w:w="4765"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批复要求</w:t>
            </w:r>
          </w:p>
        </w:tc>
        <w:tc>
          <w:tcPr>
            <w:tcW w:w="4538"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Align w:val="center"/>
          </w:tcPr>
          <w:p>
            <w:pPr>
              <w:tabs>
                <w:tab w:val="left" w:pos="757"/>
              </w:tabs>
              <w:jc w:val="center"/>
              <w:rPr>
                <w:rFonts w:hint="default" w:ascii="Times New Roman" w:hAnsi="Times New Roman" w:cs="Times New Roman"/>
                <w:spacing w:val="-11"/>
                <w:szCs w:val="21"/>
              </w:rPr>
            </w:pPr>
            <w:r>
              <w:rPr>
                <w:rFonts w:hint="default" w:ascii="Times New Roman" w:hAnsi="Times New Roman" w:cs="Times New Roman"/>
                <w:spacing w:val="-11"/>
                <w:szCs w:val="21"/>
              </w:rPr>
              <w:t>废</w:t>
            </w:r>
          </w:p>
          <w:p>
            <w:pPr>
              <w:tabs>
                <w:tab w:val="left" w:pos="757"/>
              </w:tabs>
              <w:jc w:val="center"/>
              <w:rPr>
                <w:rFonts w:hint="default" w:ascii="Times New Roman" w:hAnsi="Times New Roman" w:cs="Times New Roman"/>
                <w:spacing w:val="-11"/>
                <w:szCs w:val="21"/>
              </w:rPr>
            </w:pPr>
            <w:r>
              <w:rPr>
                <w:rFonts w:hint="default" w:ascii="Times New Roman" w:hAnsi="Times New Roman" w:cs="Times New Roman"/>
                <w:spacing w:val="-11"/>
                <w:szCs w:val="21"/>
              </w:rPr>
              <w:t>水</w:t>
            </w:r>
          </w:p>
        </w:tc>
        <w:tc>
          <w:tcPr>
            <w:tcW w:w="3274" w:type="dxa"/>
            <w:vAlign w:val="center"/>
          </w:tcPr>
          <w:p>
            <w:pPr>
              <w:ind w:firstLine="420" w:firstLineChars="20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生产废水按6股分质分流后经不同管道进入</w:t>
            </w:r>
            <w:r>
              <w:rPr>
                <w:rFonts w:hint="eastAsia" w:cs="Times New Roman"/>
                <w:kern w:val="2"/>
                <w:sz w:val="21"/>
                <w:szCs w:val="21"/>
                <w:lang w:val="en-US" w:eastAsia="zh-CN" w:bidi="ar-SA"/>
              </w:rPr>
              <w:t>基地污水处理站</w:t>
            </w:r>
            <w:r>
              <w:rPr>
                <w:rFonts w:hint="default" w:ascii="Times New Roman" w:hAnsi="Times New Roman" w:eastAsia="宋体" w:cs="Times New Roman"/>
                <w:kern w:val="2"/>
                <w:sz w:val="21"/>
                <w:szCs w:val="21"/>
                <w:lang w:val="en-US" w:eastAsia="zh-CN" w:bidi="ar-SA"/>
              </w:rPr>
              <w:t>处理达标后纳管进入平阳县东海污水处理厂进一步处理后排放</w:t>
            </w:r>
            <w:r>
              <w:rPr>
                <w:rFonts w:hint="eastAsia" w:ascii="Times New Roman" w:hAnsi="Times New Roman" w:cs="Times New Roman"/>
                <w:kern w:val="2"/>
                <w:sz w:val="21"/>
                <w:szCs w:val="21"/>
                <w:lang w:val="en-US" w:eastAsia="zh-CN" w:bidi="ar-SA"/>
              </w:rPr>
              <w:t>。</w:t>
            </w:r>
          </w:p>
        </w:tc>
        <w:tc>
          <w:tcPr>
            <w:tcW w:w="4765"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项目营运期间，生产废水按质分流排入平阳县电镀园区废水处理站处理（废水中的重金属等指标处理后执行《电镀污染物排放标准》（GB 21900-2008）中的新建表 2 中标准，COD 等指标执行《污水综合排放标准》（GB8978-1996）三级标准，氨氮、总磷限值执行浙江省《工业企业废水氮、磷污染物间接排放限值》(DB33/887-2013)，总氮纳管排放浓度参照《污水排入城镇下水道水质标准》（GB/T 31962—2015）表 1 B 级 排放限值相关要求），再纳入平阳县东海污水处理厂处理达《城镇污水处理厂污染物排放标准》（GB18918-2002）一级 A 标准后排放</w:t>
            </w:r>
          </w:p>
        </w:tc>
        <w:tc>
          <w:tcPr>
            <w:tcW w:w="4538"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改建</w:t>
            </w:r>
            <w:r>
              <w:rPr>
                <w:rFonts w:hint="default" w:ascii="Times New Roman" w:hAnsi="Times New Roman" w:eastAsia="宋体" w:cs="Times New Roman"/>
                <w:kern w:val="2"/>
                <w:sz w:val="21"/>
                <w:szCs w:val="21"/>
                <w:lang w:val="en-US" w:eastAsia="zh-CN" w:bidi="ar-SA"/>
              </w:rPr>
              <w:t>项目及迁建整合提升项目（</w:t>
            </w:r>
            <w:r>
              <w:rPr>
                <w:rFonts w:hint="eastAsia" w:ascii="Times New Roman" w:hAnsi="Times New Roman" w:eastAsia="宋体" w:cs="Times New Roman"/>
                <w:kern w:val="2"/>
                <w:sz w:val="21"/>
                <w:szCs w:val="21"/>
                <w:lang w:val="en-US" w:eastAsia="zh-CN" w:bidi="ar-SA"/>
              </w:rPr>
              <w:t>一车间2F自动喷漆车间</w:t>
            </w:r>
            <w:r>
              <w:rPr>
                <w:rFonts w:hint="default"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en-US" w:eastAsia="zh-CN" w:bidi="ar-SA"/>
              </w:rPr>
              <w:t>项目</w:t>
            </w:r>
            <w:r>
              <w:rPr>
                <w:rFonts w:hint="default" w:ascii="Times New Roman" w:hAnsi="Times New Roman" w:eastAsia="宋体" w:cs="Times New Roman"/>
                <w:kern w:val="2"/>
                <w:sz w:val="21"/>
                <w:szCs w:val="21"/>
                <w:lang w:val="en-US" w:eastAsia="zh-CN" w:bidi="ar-SA"/>
              </w:rPr>
              <w:t>废水主要为</w:t>
            </w:r>
            <w:r>
              <w:rPr>
                <w:rFonts w:hint="eastAsia" w:ascii="Times New Roman" w:hAnsi="Times New Roman" w:eastAsia="宋体" w:cs="Times New Roman"/>
                <w:kern w:val="2"/>
                <w:sz w:val="21"/>
                <w:szCs w:val="21"/>
                <w:lang w:val="en-US" w:eastAsia="zh-CN" w:bidi="ar-SA"/>
              </w:rPr>
              <w:t>前处理废水、清洗废水、</w:t>
            </w:r>
            <w:r>
              <w:rPr>
                <w:rFonts w:hint="default" w:ascii="Times New Roman" w:hAnsi="Times New Roman" w:eastAsia="宋体" w:cs="Times New Roman"/>
                <w:kern w:val="2"/>
                <w:sz w:val="21"/>
                <w:szCs w:val="21"/>
                <w:lang w:val="en-US" w:eastAsia="zh-CN" w:bidi="ar-SA"/>
              </w:rPr>
              <w:t>电镀生产废水、废气处理喷淋塔废水和员工生活污水，其中生活污水经化粪池处理达到《污水综合排放标准》( GB8978-1996)三级标准后纳管排放；</w:t>
            </w:r>
            <w:r>
              <w:rPr>
                <w:rFonts w:hint="eastAsia" w:ascii="Times New Roman" w:hAnsi="Times New Roman" w:eastAsia="宋体" w:cs="Times New Roman"/>
                <w:kern w:val="2"/>
                <w:sz w:val="21"/>
                <w:szCs w:val="21"/>
                <w:lang w:val="en-US" w:eastAsia="zh-CN" w:bidi="ar-SA"/>
              </w:rPr>
              <w:t>前处理废水、清洗废水、</w:t>
            </w:r>
            <w:r>
              <w:rPr>
                <w:rFonts w:hint="default" w:ascii="Times New Roman" w:hAnsi="Times New Roman" w:eastAsia="宋体" w:cs="Times New Roman"/>
                <w:kern w:val="2"/>
                <w:sz w:val="21"/>
                <w:szCs w:val="21"/>
                <w:lang w:val="en-US" w:eastAsia="zh-CN" w:bidi="ar-SA"/>
              </w:rPr>
              <w:t>电镀生产废水、废气处理喷淋塔废水按前处理废水、含镍废水、含铬废水和混排废水等</w:t>
            </w:r>
            <w:r>
              <w:rPr>
                <w:rFonts w:hint="eastAsia" w:ascii="Times New Roman" w:hAnsi="Times New Roman" w:eastAsia="宋体" w:cs="Times New Roman"/>
                <w:kern w:val="2"/>
                <w:sz w:val="21"/>
                <w:szCs w:val="21"/>
                <w:lang w:val="en-US" w:eastAsia="zh-CN" w:bidi="ar-SA"/>
              </w:rPr>
              <w:t>四</w:t>
            </w:r>
            <w:r>
              <w:rPr>
                <w:rFonts w:hint="default" w:ascii="Times New Roman" w:hAnsi="Times New Roman" w:eastAsia="宋体" w:cs="Times New Roman"/>
                <w:kern w:val="2"/>
                <w:sz w:val="21"/>
                <w:szCs w:val="21"/>
                <w:lang w:val="en-US" w:eastAsia="zh-CN" w:bidi="ar-SA"/>
              </w:rPr>
              <w:t>股分别收集后纳入基地污水处理站集中处理处理达到《电镀污染物排放标准》(GB21900-2008)表2中的排放限值后排入</w:t>
            </w:r>
            <w:r>
              <w:rPr>
                <w:rFonts w:hint="eastAsia" w:ascii="Times New Roman" w:hAnsi="Times New Roman" w:eastAsia="宋体" w:cs="Times New Roman"/>
                <w:kern w:val="2"/>
                <w:sz w:val="21"/>
                <w:szCs w:val="21"/>
                <w:lang w:val="en-US" w:eastAsia="zh-CN" w:bidi="ar-SA"/>
              </w:rPr>
              <w:t>平阳县东海</w:t>
            </w:r>
            <w:r>
              <w:rPr>
                <w:rFonts w:hint="default" w:ascii="Times New Roman" w:hAnsi="Times New Roman" w:eastAsia="宋体" w:cs="Times New Roman"/>
                <w:kern w:val="2"/>
                <w:sz w:val="21"/>
                <w:szCs w:val="21"/>
                <w:lang w:val="en-US" w:eastAsia="zh-CN" w:bidi="ar-SA"/>
              </w:rPr>
              <w:t>污水处理厂处理达到《城镇污水处理厂污染物排放标准》（GB18918-2002）一级标准中的A标准后排放。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废</w:t>
            </w:r>
          </w:p>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气</w:t>
            </w:r>
          </w:p>
        </w:tc>
        <w:tc>
          <w:tcPr>
            <w:tcW w:w="3274" w:type="dxa"/>
            <w:vAlign w:val="center"/>
          </w:tcPr>
          <w:p>
            <w:pPr>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电镀废气</w:t>
            </w:r>
            <w:r>
              <w:rPr>
                <w:rFonts w:hint="default" w:ascii="Times New Roman" w:hAnsi="Times New Roman" w:eastAsia="宋体" w:cs="Times New Roman"/>
                <w:kern w:val="2"/>
                <w:sz w:val="21"/>
                <w:szCs w:val="21"/>
                <w:lang w:val="en-US" w:eastAsia="zh-CN" w:bidi="ar-SA"/>
              </w:rPr>
              <w:t>槽边吸风集气、采用喷淋塔吸收净化后通过楼顶排气筒有组织排放；</w:t>
            </w:r>
            <w:r>
              <w:rPr>
                <w:rFonts w:hint="eastAsia" w:ascii="Times New Roman" w:hAnsi="Times New Roman" w:eastAsia="宋体" w:cs="Times New Roman"/>
                <w:kern w:val="2"/>
                <w:sz w:val="21"/>
                <w:szCs w:val="21"/>
                <w:lang w:val="en-US" w:eastAsia="zh-CN" w:bidi="ar-SA"/>
              </w:rPr>
              <w:t>喷漆废气采用</w:t>
            </w:r>
            <w:r>
              <w:rPr>
                <w:rFonts w:hint="default" w:ascii="Times New Roman" w:hAnsi="Times New Roman" w:eastAsia="宋体" w:cs="Times New Roman"/>
                <w:kern w:val="2"/>
                <w:sz w:val="21"/>
                <w:szCs w:val="21"/>
                <w:lang w:val="en-US" w:eastAsia="zh-CN" w:bidi="ar-SA"/>
              </w:rPr>
              <w:t>水帘式喷漆台吸收+集气+干式漆雾过滤器+活性炭吸附+楼顶排气筒（≥15m）有组织排放</w:t>
            </w:r>
            <w:r>
              <w:rPr>
                <w:rFonts w:hint="eastAsia" w:ascii="Times New Roman" w:hAnsi="Times New Roman" w:eastAsia="宋体" w:cs="Times New Roman"/>
                <w:kern w:val="2"/>
                <w:sz w:val="21"/>
                <w:szCs w:val="21"/>
                <w:lang w:val="en-US" w:eastAsia="zh-CN" w:bidi="ar-SA"/>
              </w:rPr>
              <w:t>。</w:t>
            </w:r>
          </w:p>
        </w:tc>
        <w:tc>
          <w:tcPr>
            <w:tcW w:w="4765"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生产线整体密闭，电镀工序上方设置集气装置，产生的氯化氢、硫酸雾、氰化氢和铬酸雾各自经喷淋处理塔吸收处理，产生的废气各自处理达标后通过楼顶高空排放，排放高度不低于25m； 项目电镀加工过程中产生的各种酸雾有组织排放执行《电镀污染物排放标准》（GB 21900-2008）中表 5、表 6 的排放限值，酸雾无组织排放厂界监控点浓度限值参照执行《大气污染物综合排放标准》（GB16297-1996）中表 2 的排放限值；喷漆工序产生的污染物执行《工业涂装工序大气污染物排放标准》（DB33/2146-2018）中表1、表6的标准限值，颗粒物无组织排放执行《大气污染物综合排放标准》（GB16297－1996）中表2 的排放限值，厂区内 VOCs 无组织排放限值执行《挥发性有机物无组织排放控制标准》（GB 37822-2019）中表 A.1 的特别排放限值</w:t>
            </w:r>
          </w:p>
        </w:tc>
        <w:tc>
          <w:tcPr>
            <w:tcW w:w="4538"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项目</w:t>
            </w:r>
            <w:r>
              <w:rPr>
                <w:rFonts w:hint="eastAsia" w:ascii="Times New Roman" w:hAnsi="Times New Roman" w:eastAsia="宋体" w:cs="Times New Roman"/>
                <w:kern w:val="2"/>
                <w:sz w:val="21"/>
                <w:szCs w:val="21"/>
                <w:lang w:val="en-US" w:eastAsia="zh-CN" w:bidi="ar-SA"/>
              </w:rPr>
              <w:t>二车间3F前处理、镀镍</w:t>
            </w:r>
            <w:r>
              <w:rPr>
                <w:rFonts w:hint="eastAsia" w:ascii="Times New Roman" w:hAnsi="Times New Roman" w:cs="Times New Roman"/>
                <w:kern w:val="2"/>
                <w:sz w:val="21"/>
                <w:szCs w:val="21"/>
                <w:lang w:val="en-US" w:eastAsia="zh-CN" w:bidi="ar-SA"/>
              </w:rPr>
              <w:t>废气</w:t>
            </w:r>
            <w:r>
              <w:rPr>
                <w:rFonts w:hint="eastAsia" w:ascii="Times New Roman" w:hAnsi="Times New Roman" w:eastAsia="宋体" w:cs="Times New Roman"/>
                <w:kern w:val="2"/>
                <w:sz w:val="21"/>
                <w:szCs w:val="21"/>
                <w:lang w:val="en-US" w:eastAsia="zh-CN" w:bidi="ar-SA"/>
              </w:rPr>
              <w:t>设有两套综合废气净化设施，一用一备，</w:t>
            </w:r>
            <w:r>
              <w:rPr>
                <w:rFonts w:hint="default" w:ascii="Times New Roman" w:hAnsi="Times New Roman" w:eastAsia="宋体" w:cs="Times New Roman"/>
                <w:kern w:val="2"/>
                <w:sz w:val="21"/>
                <w:szCs w:val="21"/>
                <w:lang w:val="en-US" w:eastAsia="zh-CN" w:bidi="ar-SA"/>
              </w:rPr>
              <w:t>废气收集后经水喷淋塔净化处理达标后引至高空排放</w:t>
            </w:r>
            <w:r>
              <w:rPr>
                <w:rFonts w:hint="eastAsia" w:ascii="Times New Roman" w:hAnsi="Times New Roman" w:eastAsia="宋体" w:cs="Times New Roman"/>
                <w:kern w:val="2"/>
                <w:sz w:val="21"/>
                <w:szCs w:val="21"/>
                <w:lang w:val="en-US" w:eastAsia="zh-CN" w:bidi="ar-SA"/>
              </w:rPr>
              <w:t>，排气筒高度均为</w:t>
            </w:r>
            <w:r>
              <w:rPr>
                <w:rFonts w:hint="default" w:ascii="Times New Roman" w:hAnsi="Times New Roman" w:eastAsia="宋体"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米。</w:t>
            </w:r>
          </w:p>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项目</w:t>
            </w:r>
            <w:r>
              <w:rPr>
                <w:rFonts w:hint="eastAsia" w:ascii="Times New Roman" w:hAnsi="Times New Roman" w:eastAsia="宋体" w:cs="Times New Roman"/>
                <w:kern w:val="2"/>
                <w:sz w:val="21"/>
                <w:szCs w:val="21"/>
                <w:lang w:val="en-US" w:eastAsia="zh-CN" w:bidi="ar-SA"/>
              </w:rPr>
              <w:t>二车间3F镀铬</w:t>
            </w:r>
            <w:r>
              <w:rPr>
                <w:rFonts w:hint="default" w:ascii="Times New Roman" w:hAnsi="Times New Roman" w:eastAsia="宋体" w:cs="Times New Roman"/>
                <w:kern w:val="2"/>
                <w:sz w:val="21"/>
                <w:szCs w:val="21"/>
                <w:lang w:val="en-US" w:eastAsia="zh-CN" w:bidi="ar-SA"/>
              </w:rPr>
              <w:t>废气</w:t>
            </w:r>
            <w:r>
              <w:rPr>
                <w:rFonts w:hint="eastAsia" w:ascii="Times New Roman" w:hAnsi="Times New Roman" w:eastAsia="宋体" w:cs="Times New Roman"/>
                <w:kern w:val="2"/>
                <w:sz w:val="21"/>
                <w:szCs w:val="21"/>
                <w:lang w:val="en-US" w:eastAsia="zh-CN" w:bidi="ar-SA"/>
              </w:rPr>
              <w:t>收集后</w:t>
            </w:r>
            <w:r>
              <w:rPr>
                <w:rFonts w:hint="default" w:ascii="Times New Roman" w:hAnsi="Times New Roman" w:eastAsia="宋体" w:cs="Times New Roman"/>
                <w:kern w:val="2"/>
                <w:sz w:val="21"/>
                <w:szCs w:val="21"/>
                <w:lang w:val="en-US" w:eastAsia="zh-CN" w:bidi="ar-SA"/>
              </w:rPr>
              <w:t>经水喷淋塔净化处理达标后引至</w:t>
            </w:r>
            <w:r>
              <w:rPr>
                <w:rFonts w:hint="eastAsia" w:ascii="Times New Roman" w:hAnsi="Times New Roman" w:eastAsia="宋体" w:cs="Times New Roman"/>
                <w:kern w:val="2"/>
                <w:sz w:val="21"/>
                <w:szCs w:val="21"/>
                <w:lang w:val="en-US" w:eastAsia="zh-CN" w:bidi="ar-SA"/>
              </w:rPr>
              <w:t>26</w:t>
            </w:r>
            <w:r>
              <w:rPr>
                <w:rFonts w:hint="default" w:ascii="Times New Roman" w:hAnsi="Times New Roman" w:eastAsia="宋体" w:cs="Times New Roman"/>
                <w:kern w:val="2"/>
                <w:sz w:val="21"/>
                <w:szCs w:val="21"/>
                <w:lang w:val="en-US" w:eastAsia="zh-CN" w:bidi="ar-SA"/>
              </w:rPr>
              <w:t>米</w:t>
            </w:r>
            <w:r>
              <w:rPr>
                <w:rFonts w:hint="eastAsia" w:ascii="Times New Roman" w:hAnsi="Times New Roman" w:eastAsia="宋体" w:cs="Times New Roman"/>
                <w:kern w:val="2"/>
                <w:sz w:val="21"/>
                <w:szCs w:val="21"/>
                <w:lang w:val="en-US" w:eastAsia="zh-CN" w:bidi="ar-SA"/>
              </w:rPr>
              <w:t>高空排放</w:t>
            </w:r>
            <w:r>
              <w:rPr>
                <w:rFonts w:hint="default" w:ascii="Times New Roman" w:hAnsi="Times New Roman" w:eastAsia="宋体" w:cs="Times New Roman"/>
                <w:kern w:val="2"/>
                <w:sz w:val="21"/>
                <w:szCs w:val="21"/>
                <w:lang w:val="en-US" w:eastAsia="zh-CN" w:bidi="ar-SA"/>
              </w:rPr>
              <w:t>。</w:t>
            </w:r>
          </w:p>
          <w:p>
            <w:pPr>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项目一车间2F自动喷漆、烘干（蒸汽集中供热）废气收集后经水喷淋塔+除雾器+UV光解+活性炭吸附处理达标后引至26米高空排放。</w:t>
            </w:r>
          </w:p>
          <w:p>
            <w:pPr>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企业将除油、除蜡废气收集后通过原含氰废气排气筒（该废气塔已不再处理含氰废气）引至屋顶26米高空排放</w:t>
            </w:r>
            <w:r>
              <w:rPr>
                <w:rFonts w:hint="eastAsia" w:ascii="Times New Roman" w:hAnsi="Times New Roman" w:cs="Times New Roman"/>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噪</w:t>
            </w:r>
          </w:p>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声</w:t>
            </w:r>
          </w:p>
        </w:tc>
        <w:tc>
          <w:tcPr>
            <w:tcW w:w="3274"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合理布局</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加强维修</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隔声减震</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东侧</w:t>
            </w:r>
            <w:r>
              <w:rPr>
                <w:rFonts w:hint="eastAsia" w:ascii="Times New Roman" w:hAnsi="Times New Roman" w:eastAsia="宋体" w:cs="Times New Roman"/>
                <w:kern w:val="2"/>
                <w:sz w:val="21"/>
                <w:szCs w:val="21"/>
                <w:lang w:val="en-US" w:eastAsia="zh-CN" w:bidi="ar-SA"/>
              </w:rPr>
              <w:t>临海昌路</w:t>
            </w:r>
            <w:r>
              <w:rPr>
                <w:rFonts w:hint="default" w:ascii="Times New Roman" w:hAnsi="Times New Roman" w:eastAsia="宋体" w:cs="Times New Roman"/>
                <w:kern w:val="2"/>
                <w:sz w:val="21"/>
                <w:szCs w:val="21"/>
                <w:lang w:val="en-US" w:eastAsia="zh-CN" w:bidi="ar-SA"/>
              </w:rPr>
              <w:t>厂界噪声排放执行《工业企业厂界环境噪声排放标准》（GB12348-2008）中4类标准，其余厂界执行3类标准</w:t>
            </w:r>
            <w:r>
              <w:rPr>
                <w:rFonts w:hint="eastAsia" w:ascii="Times New Roman" w:hAnsi="Times New Roman" w:eastAsia="宋体" w:cs="Times New Roman"/>
                <w:kern w:val="2"/>
                <w:sz w:val="21"/>
                <w:szCs w:val="21"/>
                <w:lang w:val="en-US" w:eastAsia="zh-CN" w:bidi="ar-SA"/>
              </w:rPr>
              <w:t>。</w:t>
            </w:r>
          </w:p>
        </w:tc>
        <w:tc>
          <w:tcPr>
            <w:tcW w:w="4765"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合理布置生产车间，加强设备的维护，确保设备处于良好的运转状态，杜绝因设备不正常运转时产生的高噪声现象；对噪声相对较大的设备，应加强减震降噪措施；项目东侧厂界噪声排放执行《工业企业厂界环境噪声排放标准》（GB12348-2008）中4类标准，其余厂界执行3类标准</w:t>
            </w:r>
          </w:p>
        </w:tc>
        <w:tc>
          <w:tcPr>
            <w:tcW w:w="4538"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车间设备基本合理布局，且采取了相应措施。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 w:type="dxa"/>
            <w:vAlign w:val="center"/>
          </w:tcPr>
          <w:p>
            <w:pPr>
              <w:jc w:val="center"/>
              <w:rPr>
                <w:rFonts w:hint="default" w:ascii="Times New Roman" w:hAnsi="Times New Roman" w:cs="Times New Roman"/>
                <w:spacing w:val="-11"/>
                <w:szCs w:val="21"/>
              </w:rPr>
            </w:pPr>
            <w:r>
              <w:rPr>
                <w:rFonts w:hint="default" w:ascii="Times New Roman" w:hAnsi="Times New Roman" w:cs="Times New Roman"/>
                <w:spacing w:val="-11"/>
                <w:szCs w:val="21"/>
              </w:rPr>
              <w:t>固体废物</w:t>
            </w:r>
          </w:p>
        </w:tc>
        <w:tc>
          <w:tcPr>
            <w:tcW w:w="3274"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危废分类收集、贮存，委托有资质单位处理</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签署危废协议，零排放</w:t>
            </w:r>
          </w:p>
        </w:tc>
        <w:tc>
          <w:tcPr>
            <w:tcW w:w="4765"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项目生产过程中产生的电镀废渣、废电镀液、废活性炭、废化学品包装容器等，由企业分类收集后定期委托有危险固废处理 资质的单位处置。危险废物贮存执行《危险废物贮存污染控制标 准》（GB18597-2001）及其修改单要求</w:t>
            </w:r>
            <w:r>
              <w:rPr>
                <w:rFonts w:hint="eastAsia" w:ascii="Times New Roman" w:hAnsi="Times New Roman" w:eastAsia="宋体" w:cs="Times New Roman"/>
                <w:kern w:val="2"/>
                <w:sz w:val="21"/>
                <w:szCs w:val="21"/>
                <w:lang w:val="en-US" w:eastAsia="zh-CN" w:bidi="ar-SA"/>
              </w:rPr>
              <w:t>。</w:t>
            </w:r>
          </w:p>
        </w:tc>
        <w:tc>
          <w:tcPr>
            <w:tcW w:w="4538" w:type="dxa"/>
            <w:vAlign w:val="center"/>
          </w:tcPr>
          <w:p>
            <w:pPr>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改</w:t>
            </w:r>
            <w:r>
              <w:rPr>
                <w:rFonts w:hint="default" w:ascii="Times New Roman" w:hAnsi="Times New Roman" w:eastAsia="宋体" w:cs="Times New Roman"/>
                <w:kern w:val="2"/>
                <w:sz w:val="21"/>
                <w:szCs w:val="21"/>
                <w:lang w:val="en-US" w:eastAsia="zh-CN" w:bidi="ar-SA"/>
              </w:rPr>
              <w:t>建项目及迁建整合提升项目</w:t>
            </w:r>
            <w:r>
              <w:rPr>
                <w:rFonts w:hint="eastAsia" w:cs="Times New Roman"/>
                <w:kern w:val="2"/>
                <w:sz w:val="21"/>
                <w:szCs w:val="21"/>
                <w:lang w:val="en-US" w:eastAsia="zh-CN" w:bidi="ar-SA"/>
              </w:rPr>
              <w:t>中的</w:t>
            </w:r>
            <w:r>
              <w:rPr>
                <w:rFonts w:hint="eastAsia" w:ascii="Times New Roman" w:hAnsi="Times New Roman" w:eastAsia="宋体" w:cs="Times New Roman"/>
                <w:kern w:val="2"/>
                <w:sz w:val="21"/>
                <w:szCs w:val="21"/>
                <w:lang w:val="en-US" w:eastAsia="zh-CN" w:bidi="ar-SA"/>
              </w:rPr>
              <w:t>一车间2F自动喷漆车间</w:t>
            </w:r>
            <w:r>
              <w:rPr>
                <w:rFonts w:hint="default" w:ascii="Times New Roman" w:hAnsi="Times New Roman" w:eastAsia="宋体" w:cs="Times New Roman"/>
                <w:kern w:val="2"/>
                <w:sz w:val="21"/>
                <w:szCs w:val="21"/>
                <w:lang w:val="en-US" w:eastAsia="zh-CN" w:bidi="ar-SA"/>
              </w:rPr>
              <w:t>产生的固体废物主要为</w:t>
            </w:r>
            <w:r>
              <w:rPr>
                <w:rFonts w:hint="eastAsia" w:ascii="Times New Roman" w:hAnsi="Times New Roman" w:eastAsia="宋体" w:cs="Times New Roman"/>
                <w:kern w:val="2"/>
                <w:sz w:val="21"/>
                <w:szCs w:val="21"/>
                <w:lang w:val="en-US" w:eastAsia="zh-CN" w:bidi="ar-SA"/>
              </w:rPr>
              <w:t>电镀废渣、废电镀液</w:t>
            </w:r>
            <w:r>
              <w:rPr>
                <w:rFonts w:hint="default"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漆渣、</w:t>
            </w:r>
            <w:r>
              <w:rPr>
                <w:rFonts w:hint="default" w:ascii="Times New Roman" w:hAnsi="Times New Roman" w:eastAsia="宋体" w:cs="Times New Roman"/>
                <w:kern w:val="2"/>
                <w:sz w:val="21"/>
                <w:szCs w:val="21"/>
                <w:lang w:val="en-US" w:eastAsia="zh-CN" w:bidi="ar-SA"/>
              </w:rPr>
              <w:t>废活性炭</w:t>
            </w:r>
            <w:r>
              <w:rPr>
                <w:rFonts w:hint="eastAsia" w:ascii="Times New Roman" w:hAnsi="Times New Roman" w:eastAsia="宋体" w:cs="Times New Roman"/>
                <w:kern w:val="2"/>
                <w:sz w:val="21"/>
                <w:szCs w:val="21"/>
                <w:lang w:val="en-US" w:eastAsia="zh-CN" w:bidi="ar-SA"/>
              </w:rPr>
              <w:t>、废包装容器</w:t>
            </w:r>
            <w:r>
              <w:rPr>
                <w:rFonts w:hint="default" w:ascii="Times New Roman" w:hAnsi="Times New Roman" w:eastAsia="宋体" w:cs="Times New Roman"/>
                <w:kern w:val="2"/>
                <w:sz w:val="21"/>
                <w:szCs w:val="21"/>
                <w:lang w:val="en-US" w:eastAsia="zh-CN" w:bidi="ar-SA"/>
              </w:rPr>
              <w:t>，其中</w:t>
            </w:r>
            <w:r>
              <w:rPr>
                <w:rFonts w:hint="eastAsia" w:ascii="Times New Roman" w:hAnsi="Times New Roman" w:eastAsia="宋体" w:cs="Times New Roman"/>
                <w:kern w:val="2"/>
                <w:sz w:val="21"/>
                <w:szCs w:val="21"/>
                <w:lang w:val="en-US" w:eastAsia="zh-CN" w:bidi="ar-SA"/>
              </w:rPr>
              <w:t>电镀废渣、废电镀液</w:t>
            </w:r>
            <w:r>
              <w:rPr>
                <w:rFonts w:hint="default" w:ascii="Times New Roman" w:hAnsi="Times New Roman" w:eastAsia="宋体" w:cs="Times New Roman"/>
                <w:kern w:val="2"/>
                <w:sz w:val="21"/>
                <w:szCs w:val="21"/>
                <w:lang w:val="en-US" w:eastAsia="zh-CN" w:bidi="ar-SA"/>
              </w:rPr>
              <w:t>收集后委托</w:t>
            </w:r>
            <w:r>
              <w:rPr>
                <w:rFonts w:hint="eastAsia" w:ascii="Times New Roman" w:hAnsi="Times New Roman" w:eastAsia="宋体" w:cs="Times New Roman"/>
                <w:kern w:val="2"/>
                <w:sz w:val="21"/>
                <w:szCs w:val="21"/>
                <w:lang w:val="en-US" w:eastAsia="zh-CN" w:bidi="ar-SA"/>
              </w:rPr>
              <w:t>平阳县环源污泥处置有限公司</w:t>
            </w:r>
            <w:r>
              <w:rPr>
                <w:rFonts w:hint="default" w:ascii="Times New Roman" w:hAnsi="Times New Roman" w:eastAsia="宋体" w:cs="Times New Roman"/>
                <w:kern w:val="2"/>
                <w:sz w:val="21"/>
                <w:szCs w:val="21"/>
                <w:lang w:val="en-US" w:eastAsia="zh-CN" w:bidi="ar-SA"/>
              </w:rPr>
              <w:t>清运处置；</w:t>
            </w:r>
            <w:r>
              <w:rPr>
                <w:rFonts w:hint="eastAsia" w:ascii="Times New Roman" w:hAnsi="Times New Roman" w:eastAsia="宋体" w:cs="Times New Roman"/>
                <w:kern w:val="2"/>
                <w:sz w:val="21"/>
                <w:szCs w:val="21"/>
                <w:lang w:val="en-US" w:eastAsia="zh-CN" w:bidi="ar-SA"/>
              </w:rPr>
              <w:t>废包装容器委托兰溪自立环保科技有限公司清运处置；</w:t>
            </w:r>
            <w:r>
              <w:rPr>
                <w:rFonts w:hint="eastAsia" w:cs="Times New Roman"/>
                <w:kern w:val="2"/>
                <w:sz w:val="21"/>
                <w:szCs w:val="21"/>
                <w:lang w:val="en-US" w:eastAsia="zh-CN" w:bidi="ar-SA"/>
              </w:rPr>
              <w:t>漆渣、</w:t>
            </w:r>
            <w:r>
              <w:rPr>
                <w:rFonts w:hint="default" w:ascii="Times New Roman" w:hAnsi="Times New Roman" w:eastAsia="宋体" w:cs="Times New Roman"/>
                <w:kern w:val="2"/>
                <w:sz w:val="21"/>
                <w:szCs w:val="21"/>
                <w:lang w:val="en-US" w:eastAsia="zh-CN" w:bidi="ar-SA"/>
              </w:rPr>
              <w:t>废活性炭暂存，待联系并签订好协议后委托有资质的单位处理；生活垃圾委托环卫部门清运处理。</w:t>
            </w:r>
          </w:p>
        </w:tc>
      </w:tr>
    </w:tbl>
    <w:p>
      <w:pPr>
        <w:tabs>
          <w:tab w:val="left" w:pos="757"/>
        </w:tabs>
        <w:spacing w:line="360" w:lineRule="auto"/>
        <w:ind w:firstLine="560" w:firstLineChars="200"/>
        <w:jc w:val="center"/>
        <w:rPr>
          <w:rFonts w:hint="default" w:ascii="Times New Roman" w:hAnsi="Times New Roman" w:cs="Times New Roman"/>
          <w:sz w:val="28"/>
          <w:szCs w:val="28"/>
        </w:rPr>
        <w:sectPr>
          <w:pgSz w:w="16840" w:h="11907" w:orient="landscape"/>
          <w:pgMar w:top="1418" w:right="1418" w:bottom="1418" w:left="1021" w:header="851" w:footer="794" w:gutter="284"/>
          <w:cols w:space="720" w:num="1"/>
          <w:docGrid w:linePitch="289" w:charSpace="0"/>
        </w:sectPr>
      </w:pPr>
    </w:p>
    <w:p>
      <w:pPr>
        <w:adjustRightInd w:val="0"/>
        <w:snapToGrid w:val="0"/>
        <w:spacing w:line="360" w:lineRule="auto"/>
        <w:jc w:val="left"/>
        <w:outlineLvl w:val="0"/>
        <w:rPr>
          <w:rFonts w:hint="default" w:ascii="Times New Roman" w:hAnsi="Times New Roman" w:cs="Times New Roman"/>
          <w:b/>
          <w:sz w:val="44"/>
          <w:szCs w:val="44"/>
        </w:rPr>
      </w:pPr>
      <w:bookmarkStart w:id="173" w:name="_Toc523410791"/>
      <w:bookmarkStart w:id="174" w:name="_Toc2867135"/>
      <w:r>
        <w:rPr>
          <w:rFonts w:hint="default" w:ascii="Times New Roman" w:hAnsi="Times New Roman" w:cs="Times New Roman"/>
          <w:b/>
          <w:sz w:val="44"/>
          <w:szCs w:val="44"/>
        </w:rPr>
        <w:t>6 建设项目环评报告的主要结论及审批</w:t>
      </w:r>
      <w:bookmarkEnd w:id="173"/>
      <w:bookmarkEnd w:id="174"/>
    </w:p>
    <w:p>
      <w:pPr>
        <w:pStyle w:val="34"/>
        <w:pageBreakBefore w:val="0"/>
        <w:widowControl w:val="0"/>
        <w:kinsoku/>
        <w:wordWrap/>
        <w:overflowPunct/>
        <w:topLinePunct w:val="0"/>
        <w:autoSpaceDE/>
        <w:autoSpaceDN/>
        <w:bidi w:val="0"/>
        <w:adjustRightInd w:val="0"/>
        <w:snapToGrid w:val="0"/>
        <w:spacing w:beforeLines="0" w:line="360" w:lineRule="auto"/>
        <w:textAlignment w:val="auto"/>
        <w:rPr>
          <w:rFonts w:hint="default" w:ascii="Times New Roman" w:hAnsi="Times New Roman" w:cs="Times New Roman"/>
        </w:rPr>
      </w:pPr>
      <w:bookmarkStart w:id="175" w:name="_Toc523410792"/>
      <w:bookmarkStart w:id="176" w:name="_Toc2867136"/>
      <w:r>
        <w:rPr>
          <w:rFonts w:hint="default" w:ascii="Times New Roman" w:hAnsi="Times New Roman" w:cs="Times New Roman"/>
        </w:rPr>
        <w:t>6.1 环评报告的主要结论与建议</w:t>
      </w:r>
      <w:bookmarkEnd w:id="175"/>
      <w:bookmarkEnd w:id="176"/>
    </w:p>
    <w:p>
      <w:pPr>
        <w:pStyle w:val="5"/>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6.1.1 环境影响评价结论</w:t>
      </w:r>
    </w:p>
    <w:p>
      <w:pPr>
        <w:pStyle w:val="5"/>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（1）水环境影响</w:t>
      </w:r>
    </w:p>
    <w:p>
      <w:pPr>
        <w:pStyle w:val="16"/>
        <w:pageBreakBefore w:val="0"/>
        <w:widowControl w:val="0"/>
        <w:kinsoku/>
        <w:wordWrap/>
        <w:overflowPunct/>
        <w:topLinePunct w:val="0"/>
        <w:autoSpaceDE/>
        <w:autoSpaceDN/>
        <w:bidi w:val="0"/>
        <w:adjustRightInd w:val="0"/>
        <w:snapToGrid w:val="0"/>
        <w:spacing w:line="360" w:lineRule="auto"/>
        <w:ind w:left="134" w:right="230" w:firstLine="480"/>
        <w:jc w:val="both"/>
        <w:textAlignment w:val="auto"/>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根据工程分析，本项目废水主要为电镀废水。本项目排放的废水分为前处理浓液、前处理废水、含氰废水、含镍废水、含铬废水、混排废水6大类，送至平阳海源污水处理有限公司集中处理。</w:t>
      </w:r>
    </w:p>
    <w:p>
      <w:pPr>
        <w:pStyle w:val="16"/>
        <w:pageBreakBefore w:val="0"/>
        <w:widowControl w:val="0"/>
        <w:kinsoku/>
        <w:wordWrap/>
        <w:overflowPunct/>
        <w:topLinePunct w:val="0"/>
        <w:autoSpaceDE/>
        <w:autoSpaceDN/>
        <w:bidi w:val="0"/>
        <w:adjustRightInd w:val="0"/>
        <w:snapToGrid w:val="0"/>
        <w:spacing w:line="360" w:lineRule="auto"/>
        <w:ind w:left="134" w:right="230" w:firstLine="480"/>
        <w:jc w:val="both"/>
        <w:textAlignment w:val="auto"/>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近期处理达到《电镀污染物排放标准》（GB 21900-2008）中表2的相关限值后纳管进入平阳县东海污水处理厂进一步处理达《城镇污水处理厂污染物排放标准》（GB18918-2002）中表1的一级A标准后排入护塘河；远期处理达到《电镀污染物排放标准》（GB 21900-2008）中表</w:t>
      </w:r>
      <w:r>
        <w:rPr>
          <w:rFonts w:hint="eastAsia" w:ascii="Times New Roman" w:hAnsi="Times New Roman" w:eastAsia="宋体" w:cs="Times New Roman"/>
          <w:b w:val="0"/>
          <w:bCs w:val="0"/>
          <w:kern w:val="2"/>
          <w:sz w:val="28"/>
          <w:szCs w:val="24"/>
          <w:lang w:val="en-US" w:eastAsia="zh-CN" w:bidi="ar-SA"/>
        </w:rPr>
        <w:t>3</w:t>
      </w:r>
      <w:r>
        <w:rPr>
          <w:rFonts w:hint="default" w:ascii="Times New Roman" w:hAnsi="Times New Roman" w:eastAsia="宋体" w:cs="Times New Roman"/>
          <w:b w:val="0"/>
          <w:bCs w:val="0"/>
          <w:kern w:val="2"/>
          <w:sz w:val="28"/>
          <w:szCs w:val="24"/>
          <w:lang w:val="en-US" w:eastAsia="zh-CN" w:bidi="ar-SA"/>
        </w:rPr>
        <w:t>的相关限值后直接排放。</w:t>
      </w:r>
    </w:p>
    <w:p>
      <w:pPr>
        <w:pStyle w:val="16"/>
        <w:pageBreakBefore w:val="0"/>
        <w:widowControl w:val="0"/>
        <w:kinsoku/>
        <w:wordWrap/>
        <w:overflowPunct/>
        <w:topLinePunct w:val="0"/>
        <w:autoSpaceDE/>
        <w:autoSpaceDN/>
        <w:bidi w:val="0"/>
        <w:adjustRightInd w:val="0"/>
        <w:snapToGrid w:val="0"/>
        <w:spacing w:line="360" w:lineRule="auto"/>
        <w:ind w:left="134" w:right="230" w:firstLine="480"/>
        <w:jc w:val="both"/>
        <w:textAlignment w:val="auto"/>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因此，本项目生产废水经平阳海源污水处理有限公司处理后纳管进入平阳县东海污水处理厂处理达标后排放，对水环境影响不大</w:t>
      </w:r>
      <w:r>
        <w:rPr>
          <w:rFonts w:hint="eastAsia" w:ascii="Times New Roman" w:hAnsi="Times New Roman" w:cs="Times New Roman"/>
          <w:b w:val="0"/>
          <w:bCs w:val="0"/>
          <w:kern w:val="2"/>
          <w:sz w:val="28"/>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（2）大气环境影响</w:t>
      </w:r>
    </w:p>
    <w:p>
      <w:pPr>
        <w:pageBreakBefore w:val="0"/>
        <w:widowControl w:val="0"/>
        <w:kinsoku/>
        <w:wordWrap/>
        <w:overflowPunct/>
        <w:topLinePunct w:val="0"/>
        <w:autoSpaceDE/>
        <w:autoSpaceDN/>
        <w:bidi w:val="0"/>
        <w:adjustRightInd w:val="0"/>
        <w:snapToGrid w:val="0"/>
        <w:spacing w:before="0" w:after="0" w:line="360" w:lineRule="auto"/>
        <w:ind w:left="0" w:right="0" w:firstLine="560" w:firstLineChars="200"/>
        <w:jc w:val="both"/>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根据预测结果，预测因子最大地面浓度占标率Pmax&lt;10%，环境空气评价等级为二级。正常情况下，本项目排放的铬酸雾、氰化氢有组织排放、无组织排放的地面最大落地浓度低于相应的质量标准，贡献值较小，对周边环境及敏感点影响较小。</w:t>
      </w:r>
    </w:p>
    <w:p>
      <w:pPr>
        <w:pageBreakBefore w:val="0"/>
        <w:widowControl w:val="0"/>
        <w:kinsoku/>
        <w:wordWrap/>
        <w:overflowPunct/>
        <w:topLinePunct w:val="0"/>
        <w:autoSpaceDE/>
        <w:autoSpaceDN/>
        <w:bidi w:val="0"/>
        <w:adjustRightInd w:val="0"/>
        <w:snapToGrid w:val="0"/>
        <w:spacing w:before="0" w:after="0" w:line="360" w:lineRule="auto"/>
        <w:ind w:left="0" w:right="0" w:firstLine="560" w:firstLineChars="200"/>
        <w:jc w:val="both"/>
        <w:textAlignment w:val="auto"/>
        <w:outlineLvl w:val="0"/>
        <w:rPr>
          <w:rFonts w:hint="eastAsia"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非正常排放工况下（废气治理效率下降为50%），铬酸雾、氰化氢的最大落地浓度将明显高于废气处理设施正常运行时的贡献值，由此可见，企业必须加强废气处理设施的管理和维护工作，确保废气处理设施正常运行，杜绝废气非正常排放</w:t>
      </w:r>
      <w:r>
        <w:rPr>
          <w:rFonts w:hint="eastAsia" w:ascii="Times New Roman" w:hAnsi="Times New Roman" w:eastAsia="宋体" w:cs="Times New Roman"/>
          <w:b w:val="0"/>
          <w:bCs w:val="0"/>
          <w:kern w:val="2"/>
          <w:sz w:val="28"/>
          <w:szCs w:val="24"/>
          <w:lang w:val="en-US" w:eastAsia="zh-CN" w:bidi="ar-SA"/>
        </w:rPr>
        <w:t>。</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根据《平阳县电镀园区建设项目环境影响后评价》，项目所在园区平阳县滨海新区电镀园区已设置200m卫生防护距离，因此本项目不再设置卫生防护距离。结合电镀园区布局以及周围敏感点分布情况，最近的敏感点海涂农场居住区距离园区最近约400m，位于包络线之外，且包络线范围内规划为工业用地， 无规划敏感保护目标。因此，符合卫生防护距离要求。</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（3）声环境影响</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根据预测结果可知，采取措施后，通过噪声预测，四周厂界贡献值昼间能达到相应声环境功能区噪声标准要求。</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eastAsia="宋体" w:cs="Times New Roman"/>
          <w:b w:val="0"/>
          <w:bCs w:val="0"/>
          <w:kern w:val="2"/>
          <w:sz w:val="28"/>
          <w:szCs w:val="24"/>
          <w:lang w:val="en-US" w:eastAsia="zh-CN" w:bidi="ar-SA"/>
        </w:rPr>
      </w:pPr>
      <w:r>
        <w:rPr>
          <w:rFonts w:hint="default" w:ascii="Times New Roman" w:hAnsi="Times New Roman" w:eastAsia="宋体" w:cs="Times New Roman"/>
          <w:b w:val="0"/>
          <w:bCs w:val="0"/>
          <w:kern w:val="2"/>
          <w:sz w:val="28"/>
          <w:szCs w:val="24"/>
          <w:lang w:val="en-US" w:eastAsia="zh-CN" w:bidi="ar-SA"/>
        </w:rPr>
        <w:t>（4）固废环境影响</w:t>
      </w:r>
    </w:p>
    <w:p>
      <w:pPr>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default" w:ascii="Times New Roman" w:hAnsi="Times New Roman" w:cs="Times New Roman"/>
          <w:color w:val="000000"/>
          <w:sz w:val="28"/>
          <w:szCs w:val="28"/>
        </w:rPr>
      </w:pPr>
      <w:r>
        <w:rPr>
          <w:rFonts w:hint="default" w:ascii="Times New Roman" w:hAnsi="Times New Roman" w:eastAsia="宋体" w:cs="Times New Roman"/>
          <w:b w:val="0"/>
          <w:bCs w:val="0"/>
          <w:kern w:val="2"/>
          <w:sz w:val="28"/>
          <w:szCs w:val="24"/>
          <w:lang w:val="en-US" w:eastAsia="zh-CN" w:bidi="ar-SA"/>
        </w:rPr>
        <w:t>固体废物经采取相关污染防治措施，固废均可以做到无害化处理，不外排环境，则不会对周围环境带来影响。</w:t>
      </w:r>
    </w:p>
    <w:p>
      <w:pPr>
        <w:pStyle w:val="5"/>
        <w:rPr>
          <w:rFonts w:hint="default" w:ascii="Times New Roman" w:hAnsi="Times New Roman" w:cs="Times New Roman"/>
        </w:rPr>
      </w:pPr>
      <w:r>
        <w:rPr>
          <w:rFonts w:hint="default" w:ascii="Times New Roman" w:hAnsi="Times New Roman" w:cs="Times New Roman"/>
        </w:rPr>
        <w:t>6.1.2 建议</w:t>
      </w:r>
    </w:p>
    <w:p>
      <w:pPr>
        <w:pStyle w:val="16"/>
        <w:ind w:right="238" w:firstLine="560"/>
        <w:rPr>
          <w:rFonts w:hint="default" w:ascii="Times New Roman" w:hAnsi="Times New Roman" w:cs="Times New Roman"/>
          <w:color w:val="000000"/>
          <w:szCs w:val="28"/>
        </w:rPr>
      </w:pPr>
      <w:r>
        <w:rPr>
          <w:rFonts w:hint="default" w:ascii="Times New Roman" w:hAnsi="Times New Roman" w:cs="Times New Roman"/>
          <w:color w:val="000000"/>
          <w:szCs w:val="28"/>
        </w:rPr>
        <w:t>1、要求建设单位重视环境保护工作，认真实施各项污染源的治理措施，确保本项目的废水、废气、噪声等均能达标排放，固废均能得到妥善处理；运营期间确保“三废”处理环保设施的正常运行，并做好保养工作，一旦环保设施出现故障，应立即停产修理；</w:t>
      </w:r>
    </w:p>
    <w:p>
      <w:pPr>
        <w:pStyle w:val="16"/>
        <w:ind w:firstLine="560"/>
        <w:rPr>
          <w:rFonts w:hint="default" w:ascii="Times New Roman" w:hAnsi="Times New Roman" w:cs="Times New Roman"/>
          <w:color w:val="000000"/>
          <w:szCs w:val="28"/>
        </w:rPr>
      </w:pPr>
      <w:r>
        <w:rPr>
          <w:rFonts w:hint="default" w:ascii="Times New Roman" w:hAnsi="Times New Roman" w:cs="Times New Roman"/>
          <w:color w:val="000000"/>
          <w:szCs w:val="28"/>
        </w:rPr>
        <w:t>2、妥善处理好各类固废的分类收集工作，做到及时清运处理；</w:t>
      </w:r>
    </w:p>
    <w:p>
      <w:pPr>
        <w:pStyle w:val="16"/>
        <w:ind w:firstLine="560"/>
        <w:rPr>
          <w:rFonts w:hint="default" w:ascii="Times New Roman" w:hAnsi="Times New Roman" w:cs="Times New Roman"/>
          <w:color w:val="000000"/>
          <w:szCs w:val="28"/>
        </w:rPr>
      </w:pPr>
      <w:r>
        <w:rPr>
          <w:rFonts w:hint="default" w:ascii="Times New Roman" w:hAnsi="Times New Roman" w:cs="Times New Roman"/>
          <w:color w:val="000000"/>
          <w:szCs w:val="28"/>
        </w:rPr>
        <w:t>3、要求建设单位在项目实施时，严格按照本环评提出的各项污染治理措施。</w:t>
      </w:r>
    </w:p>
    <w:p>
      <w:pPr>
        <w:pStyle w:val="16"/>
        <w:ind w:firstLine="560"/>
        <w:rPr>
          <w:rFonts w:hint="default" w:ascii="Times New Roman" w:hAnsi="Times New Roman" w:cs="Times New Roman"/>
          <w:color w:val="000000"/>
          <w:szCs w:val="28"/>
        </w:rPr>
      </w:pPr>
      <w:r>
        <w:rPr>
          <w:rFonts w:hint="default" w:ascii="Times New Roman" w:hAnsi="Times New Roman" w:cs="Times New Roman"/>
          <w:color w:val="000000"/>
          <w:szCs w:val="28"/>
        </w:rPr>
        <w:t>6.1.3 环境影响评价总结论</w:t>
      </w:r>
    </w:p>
    <w:p>
      <w:pPr>
        <w:pStyle w:val="16"/>
        <w:autoSpaceDE/>
        <w:autoSpaceDN/>
        <w:adjustRightInd w:val="0"/>
        <w:snapToGrid w:val="0"/>
        <w:spacing w:before="0" w:after="0" w:line="360" w:lineRule="auto"/>
        <w:ind w:left="0" w:right="0" w:firstLine="560" w:firstLineChars="200"/>
        <w:jc w:val="both"/>
        <w:rPr>
          <w:rFonts w:hint="default" w:ascii="Times New Roman" w:hAnsi="Times New Roman" w:cs="Times New Roman"/>
          <w:color w:val="000000"/>
          <w:kern w:val="2"/>
          <w:sz w:val="28"/>
          <w:szCs w:val="28"/>
          <w:lang w:eastAsia="zh-CN"/>
        </w:rPr>
      </w:pPr>
      <w:r>
        <w:rPr>
          <w:rFonts w:hint="default" w:ascii="Times New Roman" w:hAnsi="Times New Roman" w:cs="Times New Roman"/>
          <w:color w:val="000000"/>
          <w:kern w:val="2"/>
          <w:sz w:val="28"/>
          <w:szCs w:val="28"/>
          <w:lang w:eastAsia="zh-CN"/>
        </w:rPr>
        <w:t>平阳县万鹏表面处理有限公司位于平阳县宋埠海涂围垦区电镀园区C11地块，拟对各车间进行改建。改建后全厂共5条自动生产线</w:t>
      </w:r>
      <w:r>
        <w:rPr>
          <w:rFonts w:hint="eastAsia" w:ascii="Times New Roman" w:hAnsi="Times New Roman" w:cs="Times New Roman"/>
          <w:color w:val="000000"/>
          <w:kern w:val="2"/>
          <w:sz w:val="28"/>
          <w:szCs w:val="28"/>
          <w:lang w:eastAsia="zh-CN"/>
        </w:rPr>
        <w:t>、</w:t>
      </w:r>
      <w:r>
        <w:rPr>
          <w:rFonts w:hint="default" w:ascii="Times New Roman" w:hAnsi="Times New Roman" w:cs="Times New Roman"/>
          <w:color w:val="000000"/>
          <w:kern w:val="2"/>
          <w:sz w:val="28"/>
          <w:szCs w:val="28"/>
          <w:lang w:eastAsia="zh-CN"/>
        </w:rPr>
        <w:t>5只手动镀槽，镀铬容量不变，总体自动容量41627.8升，手动容量 1436.2升，自动化率为96.66%，总镀容仍在原核定容量范围内，投产后全厂达到年产6000吨五金件产品的生产规模。</w:t>
      </w:r>
    </w:p>
    <w:p>
      <w:pPr>
        <w:pStyle w:val="16"/>
        <w:ind w:firstLine="560"/>
        <w:rPr>
          <w:rFonts w:hint="default" w:ascii="Times New Roman" w:hAnsi="Times New Roman" w:cs="Times New Roman"/>
        </w:rPr>
      </w:pPr>
      <w:r>
        <w:rPr>
          <w:rFonts w:hint="default" w:ascii="Times New Roman" w:hAnsi="Times New Roman" w:cs="Times New Roman"/>
          <w:color w:val="000000"/>
          <w:kern w:val="2"/>
          <w:sz w:val="28"/>
          <w:szCs w:val="28"/>
          <w:lang w:eastAsia="zh-CN"/>
        </w:rPr>
        <w:t>该项目的建设符合环境功能区划、城市总体规划、土地利用规划及生态保护红线、环境质量底线、资源利用上线、环境准入负面清单（“三线一单”） 控制要求。项目建成后具有良好的经济效益和社会效益。但项目在运营过程中会产生一定量的废气、废水、噪声和固体废弃物等污染物。经评价分析，项目各污染物排放符合项目所在地环境功能区划的要求，可达到环境质量目标。建设单位应妥善落实本报告书提出的污染防治措施和要求，严格执行“三同时” 制度，从环保角度讲，项目建设是可行的</w:t>
      </w:r>
      <w:r>
        <w:rPr>
          <w:rFonts w:hint="default" w:ascii="Times New Roman" w:hAnsi="Times New Roman" w:cs="Times New Roman"/>
        </w:rPr>
        <w:t>。</w:t>
      </w:r>
    </w:p>
    <w:p>
      <w:pPr>
        <w:pStyle w:val="34"/>
        <w:spacing w:beforeLines="0"/>
        <w:rPr>
          <w:rFonts w:hint="default" w:ascii="Times New Roman" w:hAnsi="Times New Roman" w:cs="Times New Roman"/>
        </w:rPr>
      </w:pPr>
      <w:bookmarkStart w:id="177" w:name="_Toc523410793"/>
      <w:bookmarkStart w:id="178" w:name="_Toc2867137"/>
      <w:r>
        <w:rPr>
          <w:rFonts w:hint="default" w:ascii="Times New Roman" w:hAnsi="Times New Roman" w:cs="Times New Roman"/>
        </w:rPr>
        <w:t>6.2 审批部门审批决定</w:t>
      </w:r>
      <w:bookmarkEnd w:id="177"/>
      <w:bookmarkEnd w:id="178"/>
    </w:p>
    <w:p>
      <w:pPr>
        <w:tabs>
          <w:tab w:val="left" w:pos="757"/>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sz w:val="28"/>
          <w:lang w:eastAsia="zh-CN"/>
        </w:rPr>
        <w:t>温州市生态环境局</w:t>
      </w:r>
      <w:r>
        <w:rPr>
          <w:rFonts w:hint="default" w:ascii="Times New Roman" w:hAnsi="Times New Roman" w:cs="Times New Roman"/>
          <w:sz w:val="28"/>
        </w:rPr>
        <w:t>于</w:t>
      </w:r>
      <w:r>
        <w:rPr>
          <w:rFonts w:hint="default" w:ascii="Times New Roman" w:hAnsi="Times New Roman" w:cs="Times New Roman"/>
          <w:sz w:val="28"/>
          <w:lang w:eastAsia="zh-CN"/>
        </w:rPr>
        <w:t>2019年12月2日</w:t>
      </w:r>
      <w:r>
        <w:rPr>
          <w:rFonts w:hint="default" w:ascii="Times New Roman" w:hAnsi="Times New Roman" w:cs="Times New Roman"/>
          <w:sz w:val="28"/>
        </w:rPr>
        <w:t>以(</w:t>
      </w:r>
      <w:r>
        <w:rPr>
          <w:rFonts w:hint="default" w:ascii="Times New Roman" w:hAnsi="Times New Roman" w:cs="Times New Roman"/>
          <w:sz w:val="28"/>
          <w:lang w:eastAsia="zh-CN"/>
        </w:rPr>
        <w:t>温环平建[2019]204号</w:t>
      </w:r>
      <w:r>
        <w:rPr>
          <w:rFonts w:hint="default" w:ascii="Times New Roman" w:hAnsi="Times New Roman" w:cs="Times New Roman"/>
          <w:sz w:val="28"/>
        </w:rPr>
        <w:t>)出具了对本项目</w:t>
      </w:r>
      <w:r>
        <w:rPr>
          <w:rFonts w:hint="default" w:ascii="Times New Roman" w:hAnsi="Times New Roman" w:cs="Times New Roman"/>
          <w:sz w:val="28"/>
          <w:szCs w:val="28"/>
        </w:rPr>
        <w:t>的审批意见</w:t>
      </w:r>
      <w:r>
        <w:rPr>
          <w:rFonts w:hint="default" w:ascii="Times New Roman" w:hAnsi="Times New Roman" w:cs="Times New Roman"/>
          <w:sz w:val="28"/>
        </w:rPr>
        <w:t>，具体如下：</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平阳县万鹏表面处理有限公司：</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你单位申请审批的报告、由浙江中蓝环境科技有限公司编制的《平阳县万鹏表面处理有限公司年产 6000 吨五金件产品项目环境影响报告书》及其技术评估报告已悉。我局按照建设项目环境管理有关规定对该项目环评文件进行审查并公示，经研究，审 批意见如下：</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57"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一、根据《中华人民共和国环境影响评价法》第二十二条的规定，原则同意环境影响报告书的结论与建议，环评提出的污染防治措施可作为项目环保设计的依据，你单位须逐项予以落实。</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15"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二、项目位于平阳县宋埠海涂围垦区电镀园区 C11 地块，现拟将一车间二楼镀硬铬改为镀银工艺并增加超声研磨工艺，二车间二楼除油清洗线移至二车间一楼，二车间二楼喷漆酸洗线移至二车间四楼，二车间三楼电镀车间镀铜改为镀镍、镀铬工艺。改建后全厂共 5 条自动生产线、5 只手动镀槽，镀铬容量不变，总体自动容量41627.8 升，手动容量1436.2 升，自动化率为96.66%，总镀容不变仍在原核定容量范围内，投产后全厂达到年产 6000 吨五金件产品的生产规模。具体建设内容见项目环评文本。</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11"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三、项目营运期间，生产废水按质分流排入平阳县电镀园区废水处理站处理（废水中的重金属等指标处理后执行《电镀污染物排放标准》（GB 21900-2008）中的新建表 2 中标准，COD 等指标执行《污水综合排放标准》（GB8978-1996）三级标准，氨氮、总磷限值执行浙江省《工业企业废水氮、磷污染物间接排放限值》(DB33/887-2013)，总氮纳管排放浓度参照《污水排入城镇下水道水质标准》（GB/T 31962—2015）表 1 B 级 排放限值相关要求），再纳入平阳县东海污水处理厂处理达《城镇污水处理厂污染物排放标准》（GB18918-2002）一级A标准后排放。</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15"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生产线整体密闭，电镀工序上方设置集气装置，产生的氯化氢、硫酸雾、氰化氢和铬酸雾各自经喷淋处理塔吸收处理，产生的废气各自处理达标后通过楼顶高空排放，排放高度不低于25m；项目电镀加工过程中产生的各种酸雾有组织排放执行《电镀污染物排放标准》（GB 21900-2008）中表5、表6的排放限值，酸雾无组织排放厂界监控点浓度限值参照执行《大气污染物综合排放标准》（GB16297-1996）中表2的排放限值；喷漆工序产生的污染物执行《工业涂装工序大气污染物排放标准》（DB33/2146-2018）中表1、表6的标准限值，颗粒物无组织排放执行《大气污染物综合排放标准》（GB16297－1996）中表2的排放限值，厂区内VOCs无组织排放限值执行《挥发性有机物无组织排放控制标准》（GB 37822-2019）中表A.1的特别排放限值。</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272"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合理布置生产车间，加强设备的维护，确保设备处于良好的运转状态，杜绝因设备不正常运转时产生的高噪声现象；对噪声相对较大的设备，应加强减震降噪措施；项目东侧厂界噪声排放执行《工业企业厂界环境噪声排放标准》（GB12348-2008）中4类标准，其余厂界执行3类标准。</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271"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项目生产过程中产生的电镀废渣、废电镀液、废活性炭、废化学品包装容器等，由企业分类收集后定期委托有危险固废处理 资质的单位处置。危险废物贮存执行《危险废物贮存污染控制标 准》（GB18597-2001）及其修改单要求。</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271"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四、总量控制：本项目新增总量控制指标未超企业已购总量 指标。</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157"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五、项目的环境影响评价文件经批准后，建设项目的性质、规模、地点、采用的生产工艺或者防治污染、防止生态破坏的措施发生重大变动的，建设单位应当重新报批建设项目的环境影响评价文件。</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right="272" w:firstLine="560" w:firstLineChars="200"/>
        <w:jc w:val="both"/>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项目的环境影响评价文件自批准之日起超过五年，方决定该 项目开工建设的，其环境影响评价文件应当报原审批部门重新审核。</w:t>
      </w:r>
    </w:p>
    <w:p>
      <w:pPr>
        <w:pStyle w:val="1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default" w:ascii="Times New Roman" w:hAnsi="Times New Roman" w:eastAsia="宋体" w:cs="Times New Roman"/>
          <w:color w:val="auto"/>
          <w:kern w:val="2"/>
          <w:sz w:val="28"/>
          <w:szCs w:val="28"/>
          <w:shd w:val="clear" w:color="auto" w:fill="auto"/>
          <w:lang w:val="en-US" w:eastAsia="zh-CN" w:bidi="ar-SA"/>
        </w:rPr>
      </w:pPr>
      <w:r>
        <w:rPr>
          <w:rFonts w:hint="default" w:ascii="Times New Roman" w:hAnsi="Times New Roman" w:eastAsia="宋体" w:cs="Times New Roman"/>
          <w:color w:val="auto"/>
          <w:kern w:val="2"/>
          <w:sz w:val="28"/>
          <w:szCs w:val="28"/>
          <w:shd w:val="clear" w:color="auto" w:fill="auto"/>
          <w:lang w:val="en-US" w:eastAsia="zh-CN" w:bidi="ar-SA"/>
        </w:rPr>
        <w:t>项目建设过程中须严格执行“三同时”制度，建成后须通过“三同时”验收后才能正式投入生产。</w:t>
      </w:r>
    </w:p>
    <w:p>
      <w:pPr>
        <w:autoSpaceDE w:val="0"/>
        <w:autoSpaceDN w:val="0"/>
        <w:adjustRightIn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eastAsia="宋体" w:cs="Times New Roman"/>
          <w:color w:val="auto"/>
          <w:kern w:val="2"/>
          <w:sz w:val="28"/>
          <w:szCs w:val="28"/>
          <w:shd w:val="clear" w:color="auto" w:fill="auto"/>
          <w:lang w:val="en-US" w:eastAsia="zh-CN" w:bidi="ar-SA"/>
        </w:rPr>
        <w:t>六、若你单位对本审批意见不服的，可以自收到本审批意见之日起六十日内向温州市人民政府提起行政复议，也可以在六个 月内直接向鹿城区人民法院提起行政诉讼</w:t>
      </w:r>
      <w:r>
        <w:rPr>
          <w:rFonts w:hint="default" w:ascii="Times New Roman" w:hAnsi="Times New Roman" w:cs="Times New Roman"/>
          <w:color w:val="000000"/>
          <w:sz w:val="28"/>
          <w:szCs w:val="28"/>
        </w:rPr>
        <w:t>。</w:t>
      </w:r>
    </w:p>
    <w:p>
      <w:pPr>
        <w:pStyle w:val="97"/>
        <w:spacing w:beforeLines="0" w:afterLines="0"/>
        <w:rPr>
          <w:rFonts w:hint="default" w:ascii="Times New Roman" w:hAnsi="Times New Roman" w:cs="Times New Roman"/>
        </w:rPr>
      </w:pPr>
      <w:r>
        <w:rPr>
          <w:rFonts w:hint="default" w:ascii="Times New Roman" w:hAnsi="Times New Roman" w:cs="Times New Roman"/>
        </w:rPr>
        <w:br w:type="page"/>
      </w:r>
      <w:bookmarkStart w:id="179" w:name="_Toc2867138"/>
      <w:bookmarkStart w:id="180" w:name="_Toc523410794"/>
      <w:r>
        <w:rPr>
          <w:rFonts w:hint="default" w:ascii="Times New Roman" w:hAnsi="Times New Roman" w:cs="Times New Roman"/>
        </w:rPr>
        <w:t>7 验收执行标准</w:t>
      </w:r>
      <w:bookmarkEnd w:id="179"/>
      <w:bookmarkEnd w:id="180"/>
    </w:p>
    <w:p>
      <w:pPr>
        <w:pStyle w:val="34"/>
        <w:spacing w:beforeLines="0"/>
        <w:rPr>
          <w:rFonts w:hint="default" w:ascii="Times New Roman" w:hAnsi="Times New Roman" w:cs="Times New Roman"/>
        </w:rPr>
      </w:pPr>
      <w:bookmarkStart w:id="181" w:name="_Toc2867139"/>
      <w:bookmarkStart w:id="182" w:name="_Toc523410795"/>
      <w:r>
        <w:rPr>
          <w:rFonts w:hint="default" w:ascii="Times New Roman" w:hAnsi="Times New Roman" w:cs="Times New Roman"/>
        </w:rPr>
        <w:t>7.1 验收评价标准</w:t>
      </w:r>
      <w:bookmarkEnd w:id="181"/>
      <w:bookmarkEnd w:id="182"/>
    </w:p>
    <w:p>
      <w:pPr>
        <w:tabs>
          <w:tab w:val="left" w:pos="757"/>
        </w:tabs>
        <w:spacing w:line="360" w:lineRule="auto"/>
        <w:ind w:firstLine="560" w:firstLineChars="200"/>
        <w:jc w:val="left"/>
        <w:rPr>
          <w:rFonts w:hint="default" w:ascii="Times New Roman" w:hAnsi="Times New Roman" w:eastAsia="楷体_GB2312" w:cs="Times New Roman"/>
          <w:sz w:val="28"/>
          <w:szCs w:val="28"/>
        </w:rPr>
      </w:pPr>
      <w:r>
        <w:rPr>
          <w:rFonts w:hint="default" w:ascii="Times New Roman" w:hAnsi="Times New Roman" w:cs="Times New Roman"/>
          <w:sz w:val="28"/>
          <w:szCs w:val="28"/>
        </w:rPr>
        <w:t>有关评价标准具体指标详见表7-1：</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表7-1 各项目污染物排放限值</w:t>
      </w:r>
    </w:p>
    <w:bookmarkEnd w:id="78"/>
    <w:bookmarkEnd w:id="79"/>
    <w:tbl>
      <w:tblPr>
        <w:tblStyle w:val="3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3"/>
        <w:gridCol w:w="1485"/>
        <w:gridCol w:w="1486"/>
        <w:gridCol w:w="970"/>
        <w:gridCol w:w="850"/>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763"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类别</w:t>
            </w:r>
          </w:p>
        </w:tc>
        <w:tc>
          <w:tcPr>
            <w:tcW w:w="2971" w:type="dxa"/>
            <w:gridSpan w:val="2"/>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97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标准值</w:t>
            </w:r>
          </w:p>
        </w:tc>
        <w:tc>
          <w:tcPr>
            <w:tcW w:w="85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单位</w:t>
            </w:r>
          </w:p>
        </w:tc>
        <w:tc>
          <w:tcPr>
            <w:tcW w:w="362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废水</w:t>
            </w: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pH值</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6~9</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无量纲</w:t>
            </w:r>
          </w:p>
        </w:tc>
        <w:tc>
          <w:tcPr>
            <w:tcW w:w="3625" w:type="dxa"/>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《污水综合排放标准》</w:t>
            </w:r>
          </w:p>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悬浮物</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400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五日生化需氧量</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300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化学需氧量</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500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动植物油类</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100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总磷</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《工业企业废水氮、磷污染物间接排放限值》（DB33/887-2013）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氨氮</w:t>
            </w:r>
          </w:p>
        </w:tc>
        <w:tc>
          <w:tcPr>
            <w:tcW w:w="97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35</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总氮</w:t>
            </w:r>
          </w:p>
        </w:tc>
        <w:tc>
          <w:tcPr>
            <w:tcW w:w="970" w:type="dxa"/>
            <w:vAlign w:val="center"/>
          </w:tcPr>
          <w:p>
            <w:pPr>
              <w:snapToGrid w:val="0"/>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70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3625"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《污水排入城镇下水道水质标准》（GB/T 31962</w:t>
            </w:r>
            <w:r>
              <w:rPr>
                <w:rFonts w:hint="eastAsia" w:ascii="Times New Roman" w:hAnsi="Times New Roman" w:cs="Times New Roman"/>
                <w:color w:val="000000"/>
                <w:szCs w:val="21"/>
                <w:lang w:val="en-US" w:eastAsia="zh-CN"/>
              </w:rPr>
              <w:t>-</w:t>
            </w:r>
            <w:r>
              <w:rPr>
                <w:rFonts w:hint="default" w:ascii="Times New Roman" w:hAnsi="Times New Roman" w:cs="Times New Roman"/>
                <w:color w:val="000000"/>
                <w:szCs w:val="21"/>
                <w:lang w:val="en-US" w:eastAsia="zh-CN"/>
              </w:rPr>
              <w:t>2015）表1B级排放限值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有组织废气</w:t>
            </w:r>
          </w:p>
        </w:tc>
        <w:tc>
          <w:tcPr>
            <w:tcW w:w="1485" w:type="dxa"/>
            <w:vAlign w:val="center"/>
          </w:tcPr>
          <w:p>
            <w:pPr>
              <w:snapToGrid w:val="0"/>
              <w:jc w:val="center"/>
              <w:rPr>
                <w:rFonts w:hint="eastAsia" w:cs="Times New Roman"/>
                <w:color w:val="000000"/>
                <w:szCs w:val="21"/>
                <w:lang w:eastAsia="zh-CN"/>
              </w:rPr>
            </w:pPr>
            <w:r>
              <w:rPr>
                <w:rFonts w:hint="eastAsia" w:cs="Times New Roman"/>
                <w:color w:val="000000"/>
                <w:szCs w:val="21"/>
                <w:lang w:eastAsia="zh-CN"/>
              </w:rPr>
              <w:t>颗粒物</w:t>
            </w:r>
          </w:p>
        </w:tc>
        <w:tc>
          <w:tcPr>
            <w:tcW w:w="1486"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排放浓度</w:t>
            </w:r>
          </w:p>
        </w:tc>
        <w:tc>
          <w:tcPr>
            <w:tcW w:w="970" w:type="dxa"/>
            <w:vAlign w:val="center"/>
          </w:tcPr>
          <w:p>
            <w:pPr>
              <w:snapToGrid w:val="0"/>
              <w:jc w:val="center"/>
              <w:rPr>
                <w:rFonts w:hint="default" w:cs="Times New Roman"/>
                <w:color w:val="000000"/>
                <w:szCs w:val="21"/>
                <w:lang w:val="en-US" w:eastAsia="zh-CN"/>
              </w:rPr>
            </w:pPr>
            <w:r>
              <w:rPr>
                <w:rFonts w:hint="eastAsia" w:cs="Times New Roman"/>
                <w:color w:val="000000"/>
                <w:szCs w:val="21"/>
                <w:lang w:val="en-US" w:eastAsia="zh-CN"/>
              </w:rPr>
              <w:t>30</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《工业涂装工序大气污染物排放标准》（DB33/2146-2018）中表2排放限值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VOCs</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eastAsia" w:cs="Times New Roman"/>
                <w:szCs w:val="21"/>
                <w:lang w:val="en-US" w:eastAsia="zh-CN"/>
              </w:rPr>
              <w:t>50</w:t>
            </w:r>
          </w:p>
        </w:tc>
        <w:tc>
          <w:tcPr>
            <w:tcW w:w="850"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苯系物</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40</w:t>
            </w:r>
          </w:p>
        </w:tc>
        <w:tc>
          <w:tcPr>
            <w:tcW w:w="8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乙酸酯类</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60</w:t>
            </w:r>
          </w:p>
        </w:tc>
        <w:tc>
          <w:tcPr>
            <w:tcW w:w="8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氯化氢</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30</w:t>
            </w:r>
          </w:p>
        </w:tc>
        <w:tc>
          <w:tcPr>
            <w:tcW w:w="8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restar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《电镀污染物排放标准》(GB21900-2008)中表5的相关标准限值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eastAsia" w:ascii="Times New Roman" w:hAnsi="Times New Roman" w:eastAsia="宋体" w:cs="Times New Roman"/>
                <w:szCs w:val="21"/>
                <w:lang w:eastAsia="zh-CN"/>
              </w:rPr>
            </w:pPr>
            <w:r>
              <w:rPr>
                <w:rFonts w:hint="eastAsia" w:cs="Times New Roman"/>
                <w:szCs w:val="21"/>
                <w:lang w:eastAsia="zh-CN"/>
              </w:rPr>
              <w:t>硫酸雾</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30</w:t>
            </w:r>
          </w:p>
        </w:tc>
        <w:tc>
          <w:tcPr>
            <w:tcW w:w="8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1485" w:type="dxa"/>
            <w:vAlign w:val="center"/>
          </w:tcPr>
          <w:p>
            <w:pPr>
              <w:snapToGrid w:val="0"/>
              <w:jc w:val="center"/>
              <w:rPr>
                <w:rFonts w:hint="eastAsia" w:ascii="Times New Roman" w:hAnsi="Times New Roman" w:eastAsia="宋体" w:cs="Times New Roman"/>
                <w:szCs w:val="21"/>
                <w:lang w:eastAsia="zh-CN"/>
              </w:rPr>
            </w:pPr>
            <w:r>
              <w:rPr>
                <w:rFonts w:hint="eastAsia" w:cs="Times New Roman"/>
                <w:szCs w:val="21"/>
                <w:lang w:eastAsia="zh-CN"/>
              </w:rPr>
              <w:t>铬酸雾</w:t>
            </w:r>
          </w:p>
        </w:tc>
        <w:tc>
          <w:tcPr>
            <w:tcW w:w="1486" w:type="dxa"/>
            <w:vMerge w:val="continue"/>
            <w:vAlign w:val="center"/>
          </w:tcPr>
          <w:p>
            <w:pPr>
              <w:snapToGrid w:val="0"/>
              <w:jc w:val="center"/>
              <w:rPr>
                <w:rFonts w:hint="default" w:ascii="Times New Roman" w:hAnsi="Times New Roman" w:cs="Times New Roman"/>
                <w:szCs w:val="21"/>
              </w:rPr>
            </w:pP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0.05</w:t>
            </w:r>
          </w:p>
        </w:tc>
        <w:tc>
          <w:tcPr>
            <w:tcW w:w="850" w:type="dxa"/>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p>
        </w:tc>
        <w:tc>
          <w:tcPr>
            <w:tcW w:w="3625" w:type="dxa"/>
            <w:vMerge w:val="continue"/>
            <w:vAlign w:val="center"/>
          </w:tcPr>
          <w:p>
            <w:pPr>
              <w:snapToGrid w:val="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restar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噪声</w:t>
            </w:r>
          </w:p>
        </w:tc>
        <w:tc>
          <w:tcPr>
            <w:tcW w:w="2971" w:type="dxa"/>
            <w:gridSpan w:val="2"/>
            <w:vAlign w:val="center"/>
          </w:tcPr>
          <w:p>
            <w:pPr>
              <w:snapToGrid w:val="0"/>
              <w:jc w:val="center"/>
              <w:rPr>
                <w:rFonts w:hint="eastAsia" w:ascii="Times New Roman" w:hAnsi="Times New Roman" w:eastAsia="宋体" w:cs="Times New Roman"/>
                <w:szCs w:val="21"/>
                <w:lang w:eastAsia="zh-CN"/>
              </w:rPr>
            </w:pPr>
            <w:r>
              <w:rPr>
                <w:rFonts w:hint="default" w:ascii="Times New Roman" w:hAnsi="Times New Roman" w:cs="Times New Roman"/>
                <w:szCs w:val="21"/>
              </w:rPr>
              <w:t>厂界</w:t>
            </w:r>
            <w:r>
              <w:rPr>
                <w:rFonts w:hint="eastAsia" w:cs="Times New Roman"/>
                <w:szCs w:val="21"/>
                <w:lang w:eastAsia="zh-CN"/>
              </w:rPr>
              <w:t>东侧</w:t>
            </w: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70</w:t>
            </w:r>
          </w:p>
        </w:tc>
        <w:tc>
          <w:tcPr>
            <w:tcW w:w="850" w:type="dxa"/>
            <w:vAlign w:val="center"/>
          </w:tcPr>
          <w:p>
            <w:pPr>
              <w:snapToGrid w:val="0"/>
              <w:jc w:val="center"/>
              <w:rPr>
                <w:rFonts w:hint="default" w:ascii="Times New Roman" w:hAnsi="Times New Roman" w:cs="Times New Roman"/>
                <w:szCs w:val="21"/>
              </w:rPr>
            </w:pPr>
            <w:r>
              <w:rPr>
                <w:rFonts w:hint="default" w:ascii="Times New Roman" w:hAnsi="Times New Roman" w:cs="Times New Roman"/>
                <w:color w:val="000000"/>
                <w:szCs w:val="21"/>
              </w:rPr>
              <w:t>dB</w:t>
            </w:r>
          </w:p>
        </w:tc>
        <w:tc>
          <w:tcPr>
            <w:tcW w:w="3625"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《工业企业厂界环境噪声排放标准》(GB12348-2008)</w:t>
            </w:r>
            <w:r>
              <w:rPr>
                <w:rFonts w:hint="eastAsia" w:ascii="Times New Roman" w:hAnsi="Times New Roman" w:cs="Times New Roman"/>
                <w:color w:val="000000"/>
                <w:szCs w:val="21"/>
                <w:lang w:val="en-US" w:eastAsia="zh-CN"/>
              </w:rPr>
              <w:t>4</w:t>
            </w:r>
            <w:r>
              <w:rPr>
                <w:rFonts w:hint="default" w:ascii="Times New Roman" w:hAnsi="Times New Roman" w:cs="Times New Roman"/>
                <w:color w:val="000000"/>
                <w:szCs w:val="21"/>
              </w:rPr>
              <w:t>类昼间标准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763" w:type="dxa"/>
            <w:vMerge w:val="continue"/>
            <w:vAlign w:val="center"/>
          </w:tcPr>
          <w:p>
            <w:pPr>
              <w:snapToGrid w:val="0"/>
              <w:jc w:val="center"/>
              <w:rPr>
                <w:rFonts w:hint="default" w:ascii="Times New Roman" w:hAnsi="Times New Roman" w:cs="Times New Roman"/>
                <w:szCs w:val="21"/>
              </w:rPr>
            </w:pPr>
          </w:p>
        </w:tc>
        <w:tc>
          <w:tcPr>
            <w:tcW w:w="2971" w:type="dxa"/>
            <w:gridSpan w:val="2"/>
            <w:vAlign w:val="center"/>
          </w:tcPr>
          <w:p>
            <w:pPr>
              <w:snapToGrid w:val="0"/>
              <w:jc w:val="center"/>
              <w:rPr>
                <w:rFonts w:hint="eastAsia" w:ascii="Times New Roman" w:hAnsi="Times New Roman" w:eastAsia="宋体" w:cs="Times New Roman"/>
                <w:szCs w:val="21"/>
                <w:lang w:eastAsia="zh-CN"/>
              </w:rPr>
            </w:pPr>
            <w:r>
              <w:rPr>
                <w:rFonts w:hint="eastAsia" w:cs="Times New Roman"/>
                <w:szCs w:val="21"/>
                <w:lang w:eastAsia="zh-CN"/>
              </w:rPr>
              <w:t>其余侧</w:t>
            </w:r>
          </w:p>
        </w:tc>
        <w:tc>
          <w:tcPr>
            <w:tcW w:w="970" w:type="dxa"/>
            <w:vAlign w:val="center"/>
          </w:tcPr>
          <w:p>
            <w:pPr>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65</w:t>
            </w:r>
          </w:p>
        </w:tc>
        <w:tc>
          <w:tcPr>
            <w:tcW w:w="850"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dB</w:t>
            </w:r>
          </w:p>
        </w:tc>
        <w:tc>
          <w:tcPr>
            <w:tcW w:w="3625" w:type="dxa"/>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《工业企业厂界环境噪声排放标准》(GB12348-2008)3类昼间标准</w:t>
            </w:r>
          </w:p>
        </w:tc>
      </w:tr>
    </w:tbl>
    <w:p>
      <w:pPr>
        <w:pStyle w:val="34"/>
        <w:spacing w:beforeLines="0"/>
        <w:rPr>
          <w:rFonts w:hint="default" w:ascii="Times New Roman" w:hAnsi="Times New Roman" w:cs="Times New Roman"/>
        </w:rPr>
      </w:pPr>
      <w:bookmarkStart w:id="183" w:name="_Toc523410796"/>
      <w:bookmarkStart w:id="184" w:name="_Toc2867140"/>
      <w:r>
        <w:rPr>
          <w:rFonts w:hint="default" w:ascii="Times New Roman" w:hAnsi="Times New Roman" w:cs="Times New Roman"/>
        </w:rPr>
        <w:t>7.2 总量控制指标</w:t>
      </w:r>
      <w:bookmarkEnd w:id="183"/>
      <w:bookmarkEnd w:id="184"/>
    </w:p>
    <w:p>
      <w:pPr>
        <w:tabs>
          <w:tab w:val="left" w:pos="75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sz w:val="28"/>
          <w:szCs w:val="28"/>
        </w:rPr>
        <w:t>项目主要污染物总量控制为废水量</w:t>
      </w:r>
      <w:r>
        <w:rPr>
          <w:rFonts w:hint="eastAsia" w:cs="Times New Roman"/>
          <w:sz w:val="28"/>
          <w:szCs w:val="28"/>
          <w:lang w:val="en-US" w:eastAsia="zh-CN"/>
        </w:rPr>
        <w:t>41960.7</w:t>
      </w:r>
      <w:r>
        <w:rPr>
          <w:rFonts w:hint="default" w:ascii="Times New Roman" w:hAnsi="Times New Roman" w:cs="Times New Roman"/>
          <w:sz w:val="28"/>
          <w:szCs w:val="28"/>
        </w:rPr>
        <w:t>t/a，化学需氧量</w:t>
      </w:r>
      <w:r>
        <w:rPr>
          <w:rFonts w:hint="eastAsia" w:cs="Times New Roman"/>
          <w:sz w:val="28"/>
          <w:szCs w:val="28"/>
          <w:lang w:val="en-US" w:eastAsia="zh-CN"/>
        </w:rPr>
        <w:t>2.09</w:t>
      </w:r>
      <w:r>
        <w:rPr>
          <w:rFonts w:hint="default" w:ascii="Times New Roman" w:hAnsi="Times New Roman" w:cs="Times New Roman"/>
          <w:sz w:val="28"/>
          <w:szCs w:val="28"/>
        </w:rPr>
        <w:t>t/a        氨氮0.</w:t>
      </w:r>
      <w:r>
        <w:rPr>
          <w:rFonts w:hint="eastAsia" w:cs="Times New Roman"/>
          <w:sz w:val="28"/>
          <w:szCs w:val="28"/>
          <w:lang w:val="en-US" w:eastAsia="zh-CN"/>
        </w:rPr>
        <w:t>21</w:t>
      </w:r>
      <w:r>
        <w:rPr>
          <w:rFonts w:hint="default" w:ascii="Times New Roman" w:hAnsi="Times New Roman" w:cs="Times New Roman"/>
          <w:sz w:val="28"/>
          <w:szCs w:val="28"/>
        </w:rPr>
        <w:t>t/a、VOCs</w:t>
      </w:r>
      <w:r>
        <w:rPr>
          <w:rFonts w:hint="eastAsia" w:cs="Times New Roman"/>
          <w:sz w:val="28"/>
          <w:szCs w:val="28"/>
          <w:lang w:val="en-US" w:eastAsia="zh-CN"/>
        </w:rPr>
        <w:t>0.400</w:t>
      </w:r>
      <w:r>
        <w:rPr>
          <w:rFonts w:hint="default" w:ascii="Times New Roman" w:hAnsi="Times New Roman" w:cs="Times New Roman"/>
          <w:sz w:val="28"/>
          <w:szCs w:val="28"/>
        </w:rPr>
        <w:t>t/a</w:t>
      </w:r>
      <w:r>
        <w:rPr>
          <w:rFonts w:hint="default" w:ascii="Times New Roman" w:hAnsi="Times New Roman" w:cs="Times New Roman"/>
          <w:color w:val="000000"/>
          <w:sz w:val="28"/>
          <w:szCs w:val="28"/>
        </w:rPr>
        <w:t>。</w:t>
      </w:r>
    </w:p>
    <w:p>
      <w:pPr>
        <w:pStyle w:val="97"/>
        <w:spacing w:beforeLines="0" w:afterLines="0"/>
        <w:rPr>
          <w:rFonts w:hint="default" w:ascii="Times New Roman" w:hAnsi="Times New Roman" w:cs="Times New Roman"/>
        </w:rPr>
      </w:pPr>
      <w:r>
        <w:rPr>
          <w:rFonts w:hint="default" w:ascii="Times New Roman" w:hAnsi="Times New Roman" w:cs="Times New Roman"/>
          <w:sz w:val="28"/>
          <w:szCs w:val="28"/>
        </w:rPr>
        <w:br w:type="page"/>
      </w:r>
      <w:bookmarkStart w:id="185" w:name="_Toc523410797"/>
      <w:bookmarkStart w:id="186" w:name="_Toc2867141"/>
      <w:r>
        <w:rPr>
          <w:rFonts w:hint="default" w:ascii="Times New Roman" w:hAnsi="Times New Roman" w:cs="Times New Roman"/>
        </w:rPr>
        <w:t>8 验收监测内容</w:t>
      </w:r>
      <w:bookmarkEnd w:id="185"/>
      <w:bookmarkEnd w:id="186"/>
    </w:p>
    <w:p>
      <w:pPr>
        <w:pStyle w:val="34"/>
        <w:spacing w:beforeLines="0"/>
        <w:rPr>
          <w:rFonts w:hint="default" w:ascii="Times New Roman" w:hAnsi="Times New Roman" w:cs="Times New Roman"/>
        </w:rPr>
      </w:pPr>
      <w:bookmarkStart w:id="187" w:name="_Toc523410798"/>
      <w:bookmarkStart w:id="188" w:name="_Toc2867142"/>
      <w:r>
        <w:rPr>
          <w:rFonts w:hint="default" w:ascii="Times New Roman" w:hAnsi="Times New Roman" w:cs="Times New Roman"/>
        </w:rPr>
        <w:t>8.1环境保护设施调试效果</w:t>
      </w:r>
      <w:bookmarkEnd w:id="187"/>
      <w:bookmarkEnd w:id="188"/>
    </w:p>
    <w:p>
      <w:pPr>
        <w:spacing w:line="360" w:lineRule="auto"/>
        <w:ind w:firstLine="560" w:firstLineChars="200"/>
        <w:rPr>
          <w:rFonts w:hint="default" w:ascii="Times New Roman" w:hAnsi="Times New Roman" w:cs="Times New Roman"/>
        </w:rPr>
      </w:pPr>
      <w:r>
        <w:rPr>
          <w:rFonts w:hint="default" w:ascii="Times New Roman" w:hAnsi="Times New Roman" w:cs="Times New Roman"/>
          <w:sz w:val="28"/>
          <w:szCs w:val="28"/>
        </w:rPr>
        <w:t>通过对各类污染物达标排放及各类污染治理设施去除效率的监测，来说明环境保护设施调试效果，具体监测内容见表8-1。</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表8-1 验收监测具体内容表</w:t>
      </w:r>
    </w:p>
    <w:tbl>
      <w:tblPr>
        <w:tblStyle w:val="37"/>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19"/>
        <w:gridCol w:w="571"/>
        <w:gridCol w:w="2462"/>
        <w:gridCol w:w="277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监测</w:t>
            </w:r>
          </w:p>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内容</w:t>
            </w:r>
          </w:p>
        </w:tc>
        <w:tc>
          <w:tcPr>
            <w:tcW w:w="571"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测点编号</w:t>
            </w:r>
          </w:p>
        </w:tc>
        <w:tc>
          <w:tcPr>
            <w:tcW w:w="2462"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测点位置</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vMerge w:val="restart"/>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生活污水</w:t>
            </w:r>
          </w:p>
        </w:tc>
        <w:tc>
          <w:tcPr>
            <w:tcW w:w="571" w:type="dxa"/>
            <w:vMerge w:val="restart"/>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A</w:t>
            </w:r>
          </w:p>
        </w:tc>
        <w:tc>
          <w:tcPr>
            <w:tcW w:w="2462" w:type="dxa"/>
            <w:vMerge w:val="restart"/>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生活污水排放口</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pacing w:val="-40"/>
                <w:szCs w:val="21"/>
              </w:rPr>
            </w:pPr>
            <w:r>
              <w:rPr>
                <w:rFonts w:hint="default" w:ascii="Times New Roman" w:hAnsi="Times New Roman" w:cs="Times New Roman"/>
                <w:szCs w:val="21"/>
              </w:rPr>
              <w:t>pH</w:t>
            </w:r>
            <w:r>
              <w:rPr>
                <w:rFonts w:hint="default" w:ascii="Times New Roman" w:hAnsi="Times New Roman" w:cs="Times New Roman"/>
                <w:spacing w:val="-40"/>
                <w:szCs w:val="21"/>
              </w:rPr>
              <w:t>、</w:t>
            </w:r>
            <w:r>
              <w:rPr>
                <w:rFonts w:hint="default" w:ascii="Times New Roman" w:hAnsi="Times New Roman" w:cs="Times New Roman"/>
                <w:szCs w:val="21"/>
              </w:rPr>
              <w:t>COD</w:t>
            </w:r>
            <w:r>
              <w:rPr>
                <w:rFonts w:hint="default" w:ascii="Times New Roman" w:hAnsi="Times New Roman" w:cs="Times New Roman"/>
                <w:spacing w:val="-40"/>
                <w:szCs w:val="21"/>
              </w:rPr>
              <w:t>、</w:t>
            </w: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r>
              <w:rPr>
                <w:rFonts w:hint="default" w:ascii="Times New Roman" w:hAnsi="Times New Roman" w:cs="Times New Roman"/>
                <w:spacing w:val="-40"/>
                <w:szCs w:val="21"/>
              </w:rPr>
              <w:t>、</w:t>
            </w:r>
            <w:r>
              <w:rPr>
                <w:rFonts w:hint="default" w:ascii="Times New Roman" w:hAnsi="Times New Roman" w:cs="Times New Roman"/>
                <w:szCs w:val="21"/>
              </w:rPr>
              <w:t>SS</w:t>
            </w:r>
            <w:r>
              <w:rPr>
                <w:rFonts w:hint="default" w:ascii="Times New Roman" w:hAnsi="Times New Roman" w:cs="Times New Roman"/>
                <w:spacing w:val="-40"/>
                <w:szCs w:val="21"/>
              </w:rPr>
              <w:t>、</w:t>
            </w:r>
            <w:r>
              <w:rPr>
                <w:rFonts w:hint="default" w:ascii="Times New Roman" w:hAnsi="Times New Roman" w:cs="Times New Roman"/>
                <w:szCs w:val="21"/>
              </w:rPr>
              <w:t>BOD</w:t>
            </w:r>
            <w:r>
              <w:rPr>
                <w:rFonts w:hint="default" w:ascii="Times New Roman" w:hAnsi="Times New Roman" w:cs="Times New Roman"/>
                <w:szCs w:val="21"/>
                <w:vertAlign w:val="subscript"/>
              </w:rPr>
              <w:t>5</w:t>
            </w:r>
            <w:r>
              <w:rPr>
                <w:rFonts w:hint="default" w:ascii="Times New Roman" w:hAnsi="Times New Roman" w:cs="Times New Roman"/>
                <w:spacing w:val="-40"/>
                <w:szCs w:val="21"/>
              </w:rPr>
              <w:t>、</w:t>
            </w:r>
          </w:p>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TN</w:t>
            </w:r>
            <w:r>
              <w:rPr>
                <w:rFonts w:hint="default" w:ascii="Times New Roman" w:hAnsi="Times New Roman" w:cs="Times New Roman"/>
                <w:spacing w:val="-40"/>
                <w:kern w:val="21"/>
                <w:szCs w:val="21"/>
              </w:rPr>
              <w:t>、</w:t>
            </w:r>
            <w:r>
              <w:rPr>
                <w:rFonts w:hint="default" w:ascii="Times New Roman" w:hAnsi="Times New Roman" w:cs="Times New Roman"/>
                <w:szCs w:val="21"/>
              </w:rPr>
              <w:t>TP</w:t>
            </w:r>
            <w:r>
              <w:rPr>
                <w:rFonts w:hint="default" w:ascii="Times New Roman" w:hAnsi="Times New Roman" w:cs="Times New Roman"/>
                <w:spacing w:val="-40"/>
                <w:szCs w:val="21"/>
              </w:rPr>
              <w:t>、</w:t>
            </w:r>
            <w:r>
              <w:rPr>
                <w:rFonts w:hint="default" w:ascii="Times New Roman" w:hAnsi="Times New Roman" w:cs="Times New Roman"/>
                <w:szCs w:val="21"/>
              </w:rPr>
              <w:t>动植物油类</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vMerge w:val="continue"/>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571" w:type="dxa"/>
            <w:vMerge w:val="continue"/>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2462" w:type="dxa"/>
            <w:vMerge w:val="continue"/>
            <w:tcBorders>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COD</w:t>
            </w:r>
            <w:r>
              <w:rPr>
                <w:rFonts w:hint="default" w:ascii="Times New Roman" w:hAnsi="Times New Roman" w:cs="Times New Roman"/>
                <w:spacing w:val="-40"/>
                <w:szCs w:val="21"/>
              </w:rPr>
              <w:t>、</w:t>
            </w: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r>
              <w:rPr>
                <w:rFonts w:hint="default" w:ascii="Times New Roman" w:hAnsi="Times New Roman" w:cs="Times New Roman"/>
                <w:spacing w:val="-40"/>
                <w:szCs w:val="21"/>
              </w:rPr>
              <w:t>、</w:t>
            </w:r>
            <w:r>
              <w:rPr>
                <w:rFonts w:hint="default" w:ascii="Times New Roman" w:hAnsi="Times New Roman" w:cs="Times New Roman"/>
                <w:szCs w:val="21"/>
              </w:rPr>
              <w:t>TN</w:t>
            </w:r>
            <w:r>
              <w:rPr>
                <w:rFonts w:hint="default" w:ascii="Times New Roman" w:hAnsi="Times New Roman" w:cs="Times New Roman"/>
                <w:spacing w:val="-40"/>
                <w:kern w:val="21"/>
                <w:szCs w:val="21"/>
              </w:rPr>
              <w:t>、</w:t>
            </w:r>
            <w:r>
              <w:rPr>
                <w:rFonts w:hint="default" w:ascii="Times New Roman" w:hAnsi="Times New Roman" w:cs="Times New Roman"/>
                <w:szCs w:val="21"/>
              </w:rPr>
              <w:t>TP</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抽样1天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819" w:type="dxa"/>
            <w:vMerge w:val="restart"/>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有组织废气</w:t>
            </w:r>
          </w:p>
        </w:tc>
        <w:tc>
          <w:tcPr>
            <w:tcW w:w="571"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B、C</w:t>
            </w:r>
          </w:p>
        </w:tc>
        <w:tc>
          <w:tcPr>
            <w:tcW w:w="2462"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Calibri" w:cs="Times New Roman"/>
                <w:szCs w:val="21"/>
                <w:lang w:val="en-US" w:eastAsia="zh-CN"/>
              </w:rPr>
            </w:pPr>
            <w:r>
              <w:rPr>
                <w:rFonts w:hint="eastAsia" w:ascii="Times New Roman" w:hAnsi="Times New Roman" w:cs="Times New Roman"/>
                <w:lang w:val="en-US" w:eastAsia="zh-CN"/>
              </w:rPr>
              <w:t>DA022综合</w:t>
            </w:r>
            <w:r>
              <w:rPr>
                <w:rFonts w:hint="eastAsia" w:ascii="Times New Roman" w:hAnsi="Times New Roman" w:cs="Times New Roman"/>
                <w:lang w:eastAsia="zh-CN"/>
              </w:rPr>
              <w:t>废气</w:t>
            </w:r>
            <w:r>
              <w:rPr>
                <w:rFonts w:hint="eastAsia" w:ascii="Times New Roman" w:hAnsi="Times New Roman" w:cs="Times New Roman"/>
                <w:lang w:val="en-US" w:eastAsia="zh-CN"/>
              </w:rPr>
              <w:t>净化前、后排气筒（二车间3F前处理、镀镍线）</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eastAsia" w:ascii="Times New Roman" w:hAnsi="Times New Roman" w:eastAsia="Calibri" w:cs="Times New Roman"/>
                <w:szCs w:val="21"/>
                <w:lang w:eastAsia="zh-CN"/>
              </w:rPr>
            </w:pPr>
            <w:r>
              <w:rPr>
                <w:rFonts w:hint="eastAsia" w:ascii="Times New Roman" w:hAnsi="Times New Roman" w:cs="Times New Roman"/>
                <w:szCs w:val="21"/>
                <w:lang w:eastAsia="zh-CN"/>
              </w:rPr>
              <w:t>硫酸雾、氯化氢</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ind w:left="-13" w:hanging="86"/>
              <w:jc w:val="center"/>
              <w:rPr>
                <w:rFonts w:hint="default" w:ascii="Times New Roman" w:hAnsi="Times New Roman" w:cs="Times New Roman"/>
                <w:szCs w:val="21"/>
              </w:rPr>
            </w:pPr>
            <w:r>
              <w:rPr>
                <w:rFonts w:hint="default" w:ascii="Times New Roman" w:hAnsi="Times New Roman" w:cs="Times New Roman"/>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vMerge w:val="continue"/>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571"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D、E</w:t>
            </w:r>
          </w:p>
        </w:tc>
        <w:tc>
          <w:tcPr>
            <w:tcW w:w="2462"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Calibri" w:cs="Times New Roman"/>
                <w:kern w:val="2"/>
                <w:sz w:val="21"/>
                <w:szCs w:val="21"/>
                <w:lang w:val="en-US" w:eastAsia="zh-CN" w:bidi="ar-SA"/>
              </w:rPr>
            </w:pPr>
            <w:r>
              <w:rPr>
                <w:rFonts w:hint="eastAsia" w:ascii="Times New Roman" w:hAnsi="Times New Roman" w:cs="Times New Roman"/>
                <w:lang w:val="en-US" w:eastAsia="zh-CN"/>
              </w:rPr>
              <w:t>DA019综合</w:t>
            </w:r>
            <w:r>
              <w:rPr>
                <w:rFonts w:hint="eastAsia" w:ascii="Times New Roman" w:hAnsi="Times New Roman" w:cs="Times New Roman"/>
                <w:lang w:eastAsia="zh-CN"/>
              </w:rPr>
              <w:t>废气</w:t>
            </w:r>
            <w:r>
              <w:rPr>
                <w:rFonts w:hint="eastAsia" w:ascii="Times New Roman" w:hAnsi="Times New Roman" w:cs="Times New Roman"/>
                <w:lang w:val="en-US" w:eastAsia="zh-CN"/>
              </w:rPr>
              <w:t>净化前、后排气筒（二车间3F前处理、镀镍线）（备用塔）</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eastAsia" w:ascii="Times New Roman" w:hAnsi="Times New Roman" w:eastAsia="Calibri" w:cs="Times New Roman"/>
                <w:kern w:val="2"/>
                <w:sz w:val="21"/>
                <w:szCs w:val="21"/>
                <w:lang w:val="en-US" w:eastAsia="zh-CN" w:bidi="ar-SA"/>
              </w:rPr>
            </w:pPr>
            <w:r>
              <w:rPr>
                <w:rFonts w:hint="eastAsia" w:ascii="Times New Roman" w:hAnsi="Times New Roman" w:cs="Times New Roman"/>
                <w:szCs w:val="21"/>
                <w:lang w:eastAsia="zh-CN"/>
              </w:rPr>
              <w:t>硫酸雾、氯化氢</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ind w:left="-13" w:leftChars="0" w:hanging="86" w:firstLineChars="0"/>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vMerge w:val="continue"/>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571"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F、G</w:t>
            </w:r>
          </w:p>
        </w:tc>
        <w:tc>
          <w:tcPr>
            <w:tcW w:w="2462"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Calibri" w:cs="Times New Roman"/>
                <w:kern w:val="2"/>
                <w:sz w:val="21"/>
                <w:szCs w:val="21"/>
                <w:lang w:val="en-US" w:eastAsia="zh-CN" w:bidi="ar-SA"/>
              </w:rPr>
            </w:pPr>
            <w:r>
              <w:rPr>
                <w:rFonts w:hint="eastAsia" w:ascii="Times New Roman" w:hAnsi="Times New Roman" w:cs="Times New Roman"/>
                <w:lang w:val="en-US" w:eastAsia="zh-CN"/>
              </w:rPr>
              <w:t>DA021铬酸</w:t>
            </w:r>
            <w:r>
              <w:rPr>
                <w:rFonts w:hint="eastAsia" w:ascii="Times New Roman" w:hAnsi="Times New Roman" w:cs="Times New Roman"/>
                <w:lang w:eastAsia="zh-CN"/>
              </w:rPr>
              <w:t>废气</w:t>
            </w:r>
            <w:r>
              <w:rPr>
                <w:rFonts w:hint="eastAsia" w:ascii="Times New Roman" w:hAnsi="Times New Roman" w:cs="Times New Roman"/>
                <w:lang w:val="en-US" w:eastAsia="zh-CN"/>
              </w:rPr>
              <w:t>净化前、后排气筒（二车间3F镀铬线）</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铬酸雾</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ind w:left="-13" w:hanging="86"/>
              <w:jc w:val="center"/>
              <w:rPr>
                <w:rFonts w:hint="default" w:ascii="Times New Roman" w:hAnsi="Times New Roman" w:cs="Times New Roman"/>
                <w:szCs w:val="21"/>
              </w:rPr>
            </w:pPr>
            <w:r>
              <w:rPr>
                <w:rFonts w:hint="default" w:ascii="Times New Roman" w:hAnsi="Times New Roman" w:cs="Times New Roman"/>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vMerge w:val="continue"/>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p>
        </w:tc>
        <w:tc>
          <w:tcPr>
            <w:tcW w:w="571"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eastAsia="宋体" w:cs="Times New Roman"/>
                <w:szCs w:val="21"/>
                <w:lang w:val="en-US" w:eastAsia="zh-CN"/>
              </w:rPr>
            </w:pPr>
            <w:r>
              <w:rPr>
                <w:rFonts w:hint="eastAsia" w:cs="Times New Roman"/>
                <w:szCs w:val="21"/>
                <w:lang w:val="en-US" w:eastAsia="zh-CN"/>
              </w:rPr>
              <w:t>H、I</w:t>
            </w:r>
          </w:p>
        </w:tc>
        <w:tc>
          <w:tcPr>
            <w:tcW w:w="2462" w:type="dxa"/>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eastAsia="Calibri" w:cs="Times New Roman"/>
                <w:kern w:val="2"/>
                <w:sz w:val="21"/>
                <w:szCs w:val="21"/>
                <w:lang w:val="en-US" w:eastAsia="zh-CN" w:bidi="ar-SA"/>
              </w:rPr>
            </w:pPr>
            <w:r>
              <w:rPr>
                <w:rFonts w:hint="eastAsia" w:ascii="Times New Roman" w:hAnsi="Times New Roman" w:cs="Times New Roman"/>
                <w:lang w:val="en-US" w:eastAsia="zh-CN"/>
              </w:rPr>
              <w:t>一车间DA027喷漆废气净化前、后排气筒</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颗粒物、VOCs、苯系物*、乙酸酯类*</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抽样2天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ind w:left="-13" w:leftChars="0" w:hanging="86" w:firstLineChars="0"/>
              <w:jc w:val="center"/>
              <w:rPr>
                <w:rFonts w:hint="default" w:ascii="Times New Roman" w:hAnsi="Times New Roman" w:cs="Times New Roman"/>
                <w:kern w:val="2"/>
                <w:sz w:val="21"/>
                <w:szCs w:val="21"/>
                <w:lang w:val="en-US" w:eastAsia="zh-CN" w:bidi="ar-SA"/>
              </w:rPr>
            </w:pPr>
            <w:r>
              <w:rPr>
                <w:rFonts w:hint="default" w:ascii="Times New Roman" w:hAnsi="Times New Roman" w:cs="Times New Roman"/>
                <w:szCs w:val="21"/>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19" w:type="dxa"/>
            <w:tcBorders>
              <w:left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571"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1-</w:t>
            </w:r>
            <w:r>
              <w:rPr>
                <w:rFonts w:hint="eastAsia" w:ascii="Times New Roman" w:hAnsi="Times New Roman" w:eastAsia="宋体" w:cs="Times New Roman"/>
                <w:szCs w:val="21"/>
                <w:lang w:val="en-US" w:eastAsia="zh-CN"/>
              </w:rPr>
              <w:t>2</w:t>
            </w:r>
          </w:p>
        </w:tc>
        <w:tc>
          <w:tcPr>
            <w:tcW w:w="2462" w:type="dxa"/>
            <w:tcBorders>
              <w:top w:val="single" w:color="auto" w:sz="4" w:space="0"/>
              <w:left w:val="single" w:color="auto" w:sz="4" w:space="0"/>
              <w:right w:val="single" w:color="auto" w:sz="4" w:space="0"/>
            </w:tcBorders>
            <w:noWrap w:val="0"/>
            <w:vAlign w:val="center"/>
          </w:tcPr>
          <w:p>
            <w:pPr>
              <w:tabs>
                <w:tab w:val="left" w:pos="757"/>
              </w:tabs>
              <w:spacing w:line="240" w:lineRule="exact"/>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厂界</w:t>
            </w:r>
            <w:r>
              <w:rPr>
                <w:rFonts w:hint="eastAsia" w:ascii="Times New Roman" w:hAnsi="Times New Roman" w:eastAsia="宋体" w:cs="Times New Roman"/>
                <w:szCs w:val="21"/>
                <w:lang w:eastAsia="zh-CN"/>
              </w:rPr>
              <w:t>东南侧、东北侧</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jc w:val="center"/>
              <w:rPr>
                <w:rFonts w:hint="default" w:ascii="Times New Roman" w:hAnsi="Times New Roman" w:cs="Times New Roman"/>
                <w:szCs w:val="21"/>
              </w:rPr>
            </w:pPr>
            <w:r>
              <w:rPr>
                <w:rFonts w:hint="default" w:ascii="Times New Roman" w:hAnsi="Times New Roman" w:cs="Times New Roman"/>
                <w:szCs w:val="21"/>
              </w:rPr>
              <w:t>等效声级</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tabs>
                <w:tab w:val="left" w:pos="757"/>
              </w:tabs>
              <w:spacing w:line="240" w:lineRule="exact"/>
              <w:ind w:left="-13" w:hanging="86"/>
              <w:jc w:val="center"/>
              <w:rPr>
                <w:rFonts w:hint="default" w:ascii="Times New Roman" w:hAnsi="Times New Roman" w:cs="Times New Roman"/>
                <w:szCs w:val="21"/>
              </w:rPr>
            </w:pPr>
            <w:r>
              <w:rPr>
                <w:rFonts w:hint="default" w:ascii="Times New Roman" w:hAnsi="Times New Roman" w:cs="Times New Roman"/>
                <w:szCs w:val="21"/>
              </w:rPr>
              <w:t>监测2天</w:t>
            </w:r>
            <w:r>
              <w:rPr>
                <w:rFonts w:hint="default" w:ascii="Times New Roman" w:hAnsi="Times New Roman" w:cs="Times New Roman"/>
                <w:spacing w:val="-40"/>
                <w:szCs w:val="21"/>
              </w:rPr>
              <w:t>，</w:t>
            </w:r>
            <w:r>
              <w:rPr>
                <w:rFonts w:hint="default" w:ascii="Times New Roman" w:hAnsi="Times New Roman" w:cs="Times New Roman"/>
                <w:szCs w:val="21"/>
              </w:rPr>
              <w:t>每天</w:t>
            </w:r>
          </w:p>
          <w:p>
            <w:pPr>
              <w:tabs>
                <w:tab w:val="left" w:pos="757"/>
              </w:tabs>
              <w:spacing w:line="240" w:lineRule="exact"/>
              <w:ind w:left="-13" w:hanging="86"/>
              <w:jc w:val="center"/>
              <w:rPr>
                <w:rFonts w:hint="default" w:ascii="Times New Roman" w:hAnsi="Times New Roman" w:cs="Times New Roman"/>
                <w:szCs w:val="21"/>
              </w:rPr>
            </w:pPr>
            <w:r>
              <w:rPr>
                <w:rFonts w:hint="default" w:ascii="Times New Roman" w:hAnsi="Times New Roman" w:cs="Times New Roman"/>
                <w:szCs w:val="21"/>
              </w:rPr>
              <w:t>上午下午各1次</w:t>
            </w:r>
          </w:p>
        </w:tc>
      </w:tr>
    </w:tbl>
    <w:p>
      <w:pPr>
        <w:pStyle w:val="97"/>
        <w:spacing w:beforeLines="0" w:afterLines="0"/>
        <w:rPr>
          <w:rFonts w:hint="default" w:ascii="Times New Roman" w:hAnsi="Times New Roman" w:cs="Times New Roman"/>
        </w:rPr>
      </w:pPr>
      <w:r>
        <w:rPr>
          <w:rFonts w:hint="default" w:ascii="Times New Roman" w:hAnsi="Times New Roman" w:cs="Times New Roman"/>
        </w:rPr>
        <w:br w:type="page"/>
      </w:r>
      <w:bookmarkStart w:id="189" w:name="_Toc2867143"/>
      <w:bookmarkStart w:id="190" w:name="_Toc523410799"/>
      <w:r>
        <w:rPr>
          <w:rFonts w:hint="default" w:ascii="Times New Roman" w:hAnsi="Times New Roman" w:cs="Times New Roman"/>
        </w:rPr>
        <w:t>9 质量保证及质量控制</w:t>
      </w:r>
      <w:bookmarkEnd w:id="189"/>
      <w:bookmarkEnd w:id="190"/>
    </w:p>
    <w:p>
      <w:pPr>
        <w:pStyle w:val="34"/>
        <w:spacing w:beforeLines="0"/>
        <w:rPr>
          <w:rFonts w:hint="default" w:ascii="Times New Roman" w:hAnsi="Times New Roman" w:cs="Times New Roman"/>
        </w:rPr>
      </w:pPr>
      <w:bookmarkStart w:id="191" w:name="_Toc2867144"/>
      <w:bookmarkStart w:id="192" w:name="_Toc523410800"/>
      <w:r>
        <w:rPr>
          <w:rFonts w:hint="default" w:ascii="Times New Roman" w:hAnsi="Times New Roman" w:cs="Times New Roman"/>
        </w:rPr>
        <w:t>9.1 监测分析方法</w:t>
      </w:r>
      <w:bookmarkEnd w:id="191"/>
      <w:bookmarkEnd w:id="192"/>
    </w:p>
    <w:p>
      <w:pPr>
        <w:spacing w:line="360" w:lineRule="auto"/>
        <w:ind w:firstLine="560" w:firstLineChars="200"/>
        <w:rPr>
          <w:rFonts w:hint="default" w:ascii="Times New Roman" w:hAnsi="Times New Roman" w:cs="Times New Roman"/>
          <w:sz w:val="28"/>
        </w:rPr>
      </w:pPr>
      <w:r>
        <w:rPr>
          <w:rFonts w:hint="default" w:ascii="Times New Roman" w:hAnsi="Times New Roman" w:cs="Times New Roman"/>
          <w:sz w:val="28"/>
        </w:rPr>
        <w:t>监测项目具体分析方法见表9-1：</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表9-1 各监测项目具体分析方法表</w:t>
      </w:r>
    </w:p>
    <w:tbl>
      <w:tblPr>
        <w:tblStyle w:val="3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27"/>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13"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类别</w:t>
            </w:r>
          </w:p>
        </w:tc>
        <w:tc>
          <w:tcPr>
            <w:tcW w:w="1227"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监测项目</w:t>
            </w:r>
          </w:p>
        </w:tc>
        <w:tc>
          <w:tcPr>
            <w:tcW w:w="6518" w:type="dxa"/>
            <w:tcMar>
              <w:left w:w="28" w:type="dxa"/>
              <w:right w:w="28" w:type="dxa"/>
            </w:tcMar>
            <w:vAlign w:val="center"/>
          </w:tcPr>
          <w:p>
            <w:pPr>
              <w:ind w:firstLine="425"/>
              <w:jc w:val="center"/>
              <w:rPr>
                <w:rFonts w:hint="default" w:ascii="Times New Roman" w:hAnsi="Times New Roman" w:cs="Times New Roman"/>
                <w:szCs w:val="21"/>
              </w:rPr>
            </w:pPr>
            <w:r>
              <w:rPr>
                <w:rFonts w:hint="default" w:ascii="Times New Roman" w:hAnsi="Times New Roman" w:cs="Times New Roman"/>
                <w:szCs w:val="21"/>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废水</w:t>
            </w: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pH值</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pH值的测定 玻璃电极法 GB/T 6920</w:t>
            </w:r>
            <w:r>
              <w:rPr>
                <w:rFonts w:hint="default" w:ascii="Times New Roman" w:hAnsi="Times New Roman" w:cs="Times New Roman"/>
                <w:spacing w:val="-6"/>
                <w:szCs w:val="21"/>
              </w:rPr>
              <w:t>—</w:t>
            </w:r>
            <w:r>
              <w:rPr>
                <w:rFonts w:hint="default" w:ascii="Times New Roman" w:hAnsi="Times New Roman" w:cs="Times New Roman"/>
                <w:color w:val="000000"/>
                <w:szCs w:val="21"/>
              </w:rPr>
              <w:t>1986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COD</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化学需氧量的测定 重铬酸盐法 HJ 828</w:t>
            </w:r>
            <w:r>
              <w:rPr>
                <w:rFonts w:hint="default" w:ascii="Times New Roman" w:hAnsi="Times New Roman" w:cs="Times New Roman"/>
                <w:spacing w:val="-6"/>
                <w:szCs w:val="21"/>
              </w:rPr>
              <w:t>—</w:t>
            </w:r>
            <w:r>
              <w:rPr>
                <w:rFonts w:hint="default" w:ascii="Times New Roman" w:hAnsi="Times New Roman" w:cs="Times New Roman"/>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BOD</w:t>
            </w:r>
            <w:r>
              <w:rPr>
                <w:rFonts w:hint="default" w:ascii="Times New Roman" w:hAnsi="Times New Roman" w:cs="Times New Roman"/>
                <w:color w:val="000000"/>
                <w:szCs w:val="21"/>
                <w:vertAlign w:val="subscript"/>
              </w:rPr>
              <w:t>5</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五日生化需氧量(BOD</w:t>
            </w:r>
            <w:r>
              <w:rPr>
                <w:rFonts w:hint="default" w:ascii="Times New Roman" w:hAnsi="Times New Roman" w:cs="Times New Roman"/>
                <w:color w:val="000000"/>
                <w:szCs w:val="21"/>
                <w:vertAlign w:val="subscript"/>
              </w:rPr>
              <w:t>5</w:t>
            </w:r>
            <w:r>
              <w:rPr>
                <w:rFonts w:hint="default" w:ascii="Times New Roman" w:hAnsi="Times New Roman" w:cs="Times New Roman"/>
                <w:color w:val="000000"/>
                <w:szCs w:val="21"/>
              </w:rPr>
              <w:t>)的测定 稀释与接种法 HJ 505</w:t>
            </w:r>
            <w:r>
              <w:rPr>
                <w:rFonts w:hint="default" w:ascii="Times New Roman" w:hAnsi="Times New Roman" w:cs="Times New Roman"/>
                <w:spacing w:val="-6"/>
                <w:szCs w:val="21"/>
              </w:rPr>
              <w:t>—</w:t>
            </w:r>
            <w:r>
              <w:rPr>
                <w:rFonts w:hint="default" w:ascii="Times New Roman" w:hAnsi="Times New Roman" w:cs="Times New Roman"/>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NH</w:t>
            </w:r>
            <w:r>
              <w:rPr>
                <w:rFonts w:hint="default" w:ascii="Times New Roman" w:hAnsi="Times New Roman" w:cs="Times New Roman"/>
                <w:color w:val="000000"/>
                <w:szCs w:val="21"/>
                <w:vertAlign w:val="subscript"/>
              </w:rPr>
              <w:t>3</w:t>
            </w:r>
            <w:r>
              <w:rPr>
                <w:rFonts w:hint="default" w:ascii="Times New Roman" w:hAnsi="Times New Roman" w:cs="Times New Roman"/>
                <w:color w:val="000000"/>
                <w:szCs w:val="21"/>
              </w:rPr>
              <w:t>-N</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氨氮的测定 纳氏试剂光度法 HJ 535</w:t>
            </w:r>
            <w:r>
              <w:rPr>
                <w:rFonts w:hint="default" w:ascii="Times New Roman" w:hAnsi="Times New Roman" w:cs="Times New Roman"/>
                <w:spacing w:val="-6"/>
                <w:szCs w:val="21"/>
              </w:rPr>
              <w:t>—</w:t>
            </w:r>
            <w:r>
              <w:rPr>
                <w:rFonts w:hint="default" w:ascii="Times New Roman" w:hAnsi="Times New Roman" w:cs="Times New Roman"/>
                <w:color w:val="000000"/>
                <w:szCs w:val="21"/>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SS</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悬浮物的测定 重量法 GB/T 11901</w:t>
            </w:r>
            <w:r>
              <w:rPr>
                <w:rFonts w:hint="default" w:ascii="Times New Roman" w:hAnsi="Times New Roman" w:cs="Times New Roman"/>
                <w:spacing w:val="-6"/>
                <w:szCs w:val="21"/>
              </w:rPr>
              <w:t>—</w:t>
            </w:r>
            <w:r>
              <w:rPr>
                <w:rFonts w:hint="default" w:ascii="Times New Roman" w:hAnsi="Times New Roman" w:cs="Times New Roman"/>
                <w:color w:val="00000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动植物油类</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石油类和动植物油类的测定 红外分光光度法 HJ 637</w:t>
            </w:r>
            <w:r>
              <w:rPr>
                <w:rFonts w:hint="default" w:ascii="Times New Roman" w:hAnsi="Times New Roman" w:cs="Times New Roman"/>
                <w:spacing w:val="-6"/>
                <w:szCs w:val="21"/>
              </w:rPr>
              <w:t>—</w:t>
            </w:r>
            <w:r>
              <w:rPr>
                <w:rFonts w:hint="default" w:ascii="Times New Roman" w:hAnsi="Times New Roman" w:cs="Times New Roman"/>
                <w:color w:val="000000"/>
                <w:szCs w:val="21"/>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TP</w:t>
            </w:r>
          </w:p>
        </w:tc>
        <w:tc>
          <w:tcPr>
            <w:tcW w:w="6518" w:type="dxa"/>
            <w:tcMar>
              <w:left w:w="28" w:type="dxa"/>
              <w:right w:w="28" w:type="dxa"/>
            </w:tcMar>
            <w:vAlign w:val="center"/>
          </w:tcPr>
          <w:p>
            <w:pPr>
              <w:widowControl/>
              <w:jc w:val="left"/>
              <w:textAlignment w:val="center"/>
              <w:rPr>
                <w:rFonts w:hint="default" w:ascii="Times New Roman" w:hAnsi="Times New Roman" w:cs="Times New Roman"/>
                <w:szCs w:val="21"/>
              </w:rPr>
            </w:pPr>
            <w:r>
              <w:rPr>
                <w:rFonts w:hint="default" w:ascii="Times New Roman" w:hAnsi="Times New Roman" w:cs="Times New Roman"/>
                <w:color w:val="000000"/>
                <w:kern w:val="0"/>
                <w:szCs w:val="21"/>
              </w:rPr>
              <w:t>水质 总磷的测定 钼酸铵分光光度法 GB/T 11893</w:t>
            </w:r>
            <w:r>
              <w:rPr>
                <w:rFonts w:hint="default" w:ascii="Times New Roman" w:hAnsi="Times New Roman" w:cs="Times New Roman"/>
                <w:spacing w:val="-6"/>
                <w:szCs w:val="21"/>
              </w:rPr>
              <w:t>—</w:t>
            </w:r>
            <w:r>
              <w:rPr>
                <w:rFonts w:hint="default" w:ascii="Times New Roman" w:hAnsi="Times New Roman" w:cs="Times New Roman"/>
                <w:color w:val="000000"/>
                <w:kern w:val="0"/>
                <w:szCs w:val="21"/>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TN</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水质 总氮的测定 碱性过硫酸钾消解紫外分光光度法 HJ 636—2012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废气</w:t>
            </w: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VOCs</w:t>
            </w:r>
          </w:p>
        </w:tc>
        <w:tc>
          <w:tcPr>
            <w:tcW w:w="6518" w:type="dxa"/>
            <w:tcMar>
              <w:left w:w="28" w:type="dxa"/>
              <w:right w:w="28" w:type="dxa"/>
            </w:tcMar>
            <w:vAlign w:val="center"/>
          </w:tcPr>
          <w:p>
            <w:pPr>
              <w:ind w:firstLine="11" w:firstLineChars="6"/>
              <w:jc w:val="left"/>
              <w:rPr>
                <w:rFonts w:hint="default" w:ascii="Times New Roman" w:hAnsi="Times New Roman" w:cs="Times New Roman"/>
                <w:spacing w:val="-6"/>
                <w:szCs w:val="21"/>
              </w:rPr>
            </w:pPr>
            <w:r>
              <w:rPr>
                <w:rFonts w:hint="default" w:ascii="Times New Roman" w:hAnsi="Times New Roman" w:cs="Times New Roman"/>
                <w:spacing w:val="-6"/>
                <w:szCs w:val="21"/>
              </w:rPr>
              <w:t>固定污染源废气 挥发性有机物的测定 固相吸附-热脱附/气相色谱-质谱法 HJ 734—2014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颗粒物</w:t>
            </w:r>
          </w:p>
        </w:tc>
        <w:tc>
          <w:tcPr>
            <w:tcW w:w="6518" w:type="dxa"/>
            <w:tcMar>
              <w:left w:w="28" w:type="dxa"/>
              <w:right w:w="28" w:type="dxa"/>
            </w:tcMar>
            <w:vAlign w:val="center"/>
          </w:tcPr>
          <w:p>
            <w:pPr>
              <w:ind w:firstLine="11" w:firstLineChars="6"/>
              <w:jc w:val="left"/>
              <w:rPr>
                <w:rFonts w:hint="default" w:ascii="Times New Roman" w:hAnsi="Times New Roman" w:cs="Times New Roman"/>
                <w:spacing w:val="-6"/>
                <w:szCs w:val="21"/>
              </w:rPr>
            </w:pPr>
            <w:r>
              <w:rPr>
                <w:rFonts w:hint="eastAsia" w:ascii="Times New Roman" w:hAnsi="Times New Roman" w:cs="Times New Roman"/>
                <w:spacing w:val="-6"/>
                <w:szCs w:val="21"/>
              </w:rPr>
              <w:t>固定污染源排气中颗粒物测定与气态污染物采样方法 GB/T 16157</w:t>
            </w:r>
            <w:r>
              <w:rPr>
                <w:rFonts w:hint="eastAsia" w:ascii="Times New Roman" w:hAnsi="Times New Roman" w:cs="Times New Roman"/>
                <w:spacing w:val="-6"/>
                <w:szCs w:val="21"/>
                <w:lang w:val="en-US" w:eastAsia="zh-CN"/>
              </w:rPr>
              <w:t>—</w:t>
            </w:r>
            <w:r>
              <w:rPr>
                <w:rFonts w:hint="eastAsia" w:ascii="Times New Roman" w:hAnsi="Times New Roman" w:cs="Times New Roman"/>
                <w:spacing w:val="-6"/>
                <w:szCs w:val="21"/>
              </w:rPr>
              <w:t>1996</w:t>
            </w:r>
            <w:r>
              <w:rPr>
                <w:rFonts w:hint="eastAsia" w:ascii="Times New Roman" w:hAnsi="Times New Roman" w:cs="Times New Roman"/>
                <w:spacing w:val="-6"/>
                <w:szCs w:val="21"/>
                <w:lang w:eastAsia="zh-CN"/>
              </w:rPr>
              <w:t>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硫酸雾</w:t>
            </w:r>
          </w:p>
        </w:tc>
        <w:tc>
          <w:tcPr>
            <w:tcW w:w="6518" w:type="dxa"/>
            <w:tcMar>
              <w:left w:w="28" w:type="dxa"/>
              <w:right w:w="28" w:type="dxa"/>
            </w:tcMar>
            <w:vAlign w:val="center"/>
          </w:tcPr>
          <w:p>
            <w:pPr>
              <w:ind w:firstLine="11" w:firstLineChars="6"/>
              <w:jc w:val="left"/>
              <w:rPr>
                <w:rFonts w:hint="default" w:ascii="Times New Roman" w:hAnsi="Times New Roman" w:cs="Times New Roman"/>
                <w:spacing w:val="-6"/>
                <w:szCs w:val="21"/>
              </w:rPr>
            </w:pPr>
            <w:r>
              <w:rPr>
                <w:rFonts w:hint="eastAsia" w:ascii="Times New Roman" w:hAnsi="Times New Roman" w:cs="Times New Roman"/>
                <w:spacing w:val="-6"/>
                <w:szCs w:val="21"/>
                <w:lang w:eastAsia="zh-CN"/>
              </w:rPr>
              <w:t>固定污染源废气 硫酸雾的测定 离子色谱法 HJ 544—2016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eastAsia" w:cs="Times New Roman"/>
                <w:color w:val="000000"/>
                <w:szCs w:val="21"/>
                <w:lang w:eastAsia="zh-CN"/>
              </w:rPr>
            </w:pPr>
            <w:r>
              <w:rPr>
                <w:rFonts w:hint="eastAsia" w:cs="Times New Roman"/>
                <w:color w:val="000000"/>
                <w:szCs w:val="21"/>
                <w:lang w:eastAsia="zh-CN"/>
              </w:rPr>
              <w:t>铬酸雾</w:t>
            </w:r>
          </w:p>
        </w:tc>
        <w:tc>
          <w:tcPr>
            <w:tcW w:w="6518" w:type="dxa"/>
            <w:tcMar>
              <w:left w:w="28" w:type="dxa"/>
              <w:right w:w="28" w:type="dxa"/>
            </w:tcMar>
            <w:vAlign w:val="center"/>
          </w:tcPr>
          <w:p>
            <w:pPr>
              <w:ind w:firstLine="11" w:firstLineChars="6"/>
              <w:jc w:val="left"/>
              <w:rPr>
                <w:rFonts w:hint="default" w:ascii="Times New Roman" w:hAnsi="Times New Roman" w:cs="Times New Roman"/>
                <w:spacing w:val="-6"/>
                <w:szCs w:val="21"/>
              </w:rPr>
            </w:pPr>
            <w:r>
              <w:rPr>
                <w:rFonts w:hint="eastAsia" w:ascii="Times New Roman" w:hAnsi="Times New Roman" w:cs="Times New Roman"/>
                <w:spacing w:val="-6"/>
                <w:szCs w:val="21"/>
                <w:lang w:eastAsia="zh-CN"/>
              </w:rPr>
              <w:t>固定污染源排气中铬酸雾的测定 二苯碳酰二肼分光光度法 HJ/T 29—1999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widowControl/>
              <w:jc w:val="center"/>
              <w:textAlignment w:val="center"/>
              <w:rPr>
                <w:rFonts w:hint="default" w:ascii="Times New Roman" w:hAnsi="Times New Roman" w:cs="Times New Roman"/>
                <w:color w:val="000000"/>
                <w:kern w:val="0"/>
                <w:szCs w:val="21"/>
              </w:rPr>
            </w:pPr>
          </w:p>
        </w:tc>
        <w:tc>
          <w:tcPr>
            <w:tcW w:w="1227" w:type="dxa"/>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氯化氢</w:t>
            </w:r>
          </w:p>
        </w:tc>
        <w:tc>
          <w:tcPr>
            <w:tcW w:w="6518" w:type="dxa"/>
            <w:tcMar>
              <w:left w:w="28" w:type="dxa"/>
              <w:right w:w="28" w:type="dxa"/>
            </w:tcMar>
            <w:vAlign w:val="center"/>
          </w:tcPr>
          <w:p>
            <w:pPr>
              <w:ind w:firstLine="11" w:firstLineChars="6"/>
              <w:jc w:val="left"/>
              <w:rPr>
                <w:rFonts w:hint="default" w:ascii="Times New Roman" w:hAnsi="Times New Roman" w:cs="Times New Roman"/>
                <w:spacing w:val="-6"/>
                <w:szCs w:val="21"/>
              </w:rPr>
            </w:pPr>
            <w:r>
              <w:rPr>
                <w:rFonts w:hint="default" w:ascii="Times New Roman" w:hAnsi="Times New Roman" w:cs="Times New Roman"/>
                <w:spacing w:val="-6"/>
                <w:szCs w:val="21"/>
              </w:rPr>
              <w:t>固定污染源排气中氯化氢的测定 硫氰酸汞分光光度法 HJ/T 27—1999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restart"/>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噪声</w:t>
            </w:r>
          </w:p>
        </w:tc>
        <w:tc>
          <w:tcPr>
            <w:tcW w:w="1227" w:type="dxa"/>
            <w:vMerge w:val="restart"/>
            <w:tcMar>
              <w:left w:w="28" w:type="dxa"/>
              <w:right w:w="28" w:type="dxa"/>
            </w:tcMar>
            <w:vAlign w:val="center"/>
          </w:tcPr>
          <w:p>
            <w:pPr>
              <w:ind w:firstLine="12" w:firstLineChars="6"/>
              <w:jc w:val="center"/>
              <w:rPr>
                <w:rFonts w:hint="default" w:ascii="Times New Roman" w:hAnsi="Times New Roman" w:cs="Times New Roman"/>
                <w:color w:val="000000"/>
                <w:szCs w:val="21"/>
              </w:rPr>
            </w:pPr>
            <w:r>
              <w:rPr>
                <w:rFonts w:hint="default" w:ascii="Times New Roman" w:hAnsi="Times New Roman" w:cs="Times New Roman"/>
                <w:color w:val="000000"/>
                <w:szCs w:val="21"/>
              </w:rPr>
              <w:t>厂界噪声</w:t>
            </w: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工业企业厂界环境噪声排放标准GB 12348</w:t>
            </w:r>
            <w:r>
              <w:rPr>
                <w:rFonts w:hint="default" w:ascii="Times New Roman" w:hAnsi="Times New Roman" w:cs="Times New Roman"/>
                <w:spacing w:val="-6"/>
                <w:szCs w:val="21"/>
              </w:rPr>
              <w:t>—</w:t>
            </w:r>
            <w:r>
              <w:rPr>
                <w:rFonts w:hint="default" w:ascii="Times New Roman" w:hAnsi="Times New Roman" w:cs="Times New Roman"/>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3" w:type="dxa"/>
            <w:vMerge w:val="continue"/>
            <w:tcMar>
              <w:left w:w="28" w:type="dxa"/>
              <w:right w:w="28" w:type="dxa"/>
            </w:tcMar>
            <w:vAlign w:val="center"/>
          </w:tcPr>
          <w:p>
            <w:pPr>
              <w:ind w:firstLine="12" w:firstLineChars="6"/>
              <w:jc w:val="center"/>
              <w:rPr>
                <w:rFonts w:hint="default" w:ascii="Times New Roman" w:hAnsi="Times New Roman" w:cs="Times New Roman"/>
                <w:color w:val="000000"/>
                <w:szCs w:val="21"/>
              </w:rPr>
            </w:pPr>
          </w:p>
        </w:tc>
        <w:tc>
          <w:tcPr>
            <w:tcW w:w="1227" w:type="dxa"/>
            <w:vMerge w:val="continue"/>
            <w:tcMar>
              <w:left w:w="28" w:type="dxa"/>
              <w:right w:w="28" w:type="dxa"/>
            </w:tcMar>
            <w:vAlign w:val="center"/>
          </w:tcPr>
          <w:p>
            <w:pPr>
              <w:ind w:firstLine="12" w:firstLineChars="6"/>
              <w:jc w:val="center"/>
              <w:rPr>
                <w:rFonts w:hint="default" w:ascii="Times New Roman" w:hAnsi="Times New Roman" w:cs="Times New Roman"/>
                <w:color w:val="000000"/>
                <w:szCs w:val="21"/>
              </w:rPr>
            </w:pPr>
          </w:p>
        </w:tc>
        <w:tc>
          <w:tcPr>
            <w:tcW w:w="6518" w:type="dxa"/>
            <w:tcMar>
              <w:left w:w="28" w:type="dxa"/>
              <w:right w:w="28" w:type="dxa"/>
            </w:tcMar>
            <w:vAlign w:val="center"/>
          </w:tcPr>
          <w:p>
            <w:pPr>
              <w:ind w:firstLine="12" w:firstLineChars="6"/>
              <w:jc w:val="left"/>
              <w:rPr>
                <w:rFonts w:hint="default" w:ascii="Times New Roman" w:hAnsi="Times New Roman" w:cs="Times New Roman"/>
                <w:color w:val="000000"/>
                <w:szCs w:val="21"/>
              </w:rPr>
            </w:pPr>
            <w:r>
              <w:rPr>
                <w:rFonts w:hint="default" w:ascii="Times New Roman" w:hAnsi="Times New Roman" w:cs="Times New Roman"/>
                <w:color w:val="000000"/>
                <w:szCs w:val="21"/>
              </w:rPr>
              <w:t>环境噪声监测技术规范 噪声测量值修正 HJ 706-2014</w:t>
            </w:r>
          </w:p>
        </w:tc>
      </w:tr>
    </w:tbl>
    <w:p>
      <w:pPr>
        <w:pStyle w:val="34"/>
        <w:spacing w:beforeLines="0"/>
        <w:rPr>
          <w:rFonts w:hint="default" w:ascii="Times New Roman" w:hAnsi="Times New Roman" w:cs="Times New Roman"/>
        </w:rPr>
      </w:pPr>
      <w:bookmarkStart w:id="193" w:name="_Toc2867145"/>
      <w:bookmarkStart w:id="194" w:name="_Toc523410801"/>
      <w:r>
        <w:rPr>
          <w:rFonts w:hint="default" w:ascii="Times New Roman" w:hAnsi="Times New Roman" w:cs="Times New Roman"/>
        </w:rPr>
        <w:t>9.2 监测仪器设备</w:t>
      </w:r>
      <w:bookmarkEnd w:id="193"/>
      <w:bookmarkEnd w:id="194"/>
    </w:p>
    <w:p>
      <w:pPr>
        <w:pStyle w:val="75"/>
        <w:snapToGrid/>
        <w:ind w:firstLine="560"/>
        <w:rPr>
          <w:rFonts w:hint="default" w:ascii="Times New Roman" w:hAnsi="Times New Roman" w:eastAsia="楷体_GB2312" w:cs="Times New Roman"/>
          <w:szCs w:val="28"/>
        </w:rPr>
      </w:pPr>
      <w:r>
        <w:rPr>
          <w:rFonts w:hint="default" w:ascii="Times New Roman" w:hAnsi="Times New Roman" w:cs="Times New Roman"/>
        </w:rPr>
        <w:t>监测项目所用仪器设备见表9-2：</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表9-2 监测仪器设备一览表</w:t>
      </w:r>
    </w:p>
    <w:tbl>
      <w:tblPr>
        <w:tblStyle w:val="37"/>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29"/>
        <w:gridCol w:w="1740"/>
        <w:gridCol w:w="279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2329" w:type="dxa"/>
            <w:tcMar>
              <w:left w:w="28" w:type="dxa"/>
              <w:right w:w="28" w:type="dxa"/>
            </w:tcMar>
            <w:vAlign w:val="center"/>
          </w:tcPr>
          <w:p>
            <w:pPr>
              <w:jc w:val="center"/>
              <w:rPr>
                <w:rFonts w:hint="default" w:ascii="Times New Roman" w:hAnsi="Times New Roman" w:cs="Times New Roman"/>
                <w:szCs w:val="21"/>
              </w:rPr>
            </w:pPr>
            <w:bookmarkStart w:id="195" w:name="_Toc2867146"/>
            <w:bookmarkStart w:id="196" w:name="_Toc523410802"/>
            <w:r>
              <w:rPr>
                <w:rFonts w:hint="default" w:ascii="Times New Roman" w:hAnsi="Times New Roman" w:cs="Times New Roman"/>
                <w:szCs w:val="21"/>
              </w:rPr>
              <w:t>仪器名称</w:t>
            </w:r>
          </w:p>
        </w:tc>
        <w:tc>
          <w:tcPr>
            <w:tcW w:w="174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规格型号</w:t>
            </w:r>
          </w:p>
        </w:tc>
        <w:tc>
          <w:tcPr>
            <w:tcW w:w="279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监测因子</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cs="Times New Roman"/>
                <w:szCs w:val="21"/>
              </w:rPr>
            </w:pPr>
            <w:r>
              <w:rPr>
                <w:rFonts w:hint="eastAsia" w:cs="Times New Roman"/>
                <w:szCs w:val="21"/>
                <w:lang w:eastAsia="zh-CN"/>
              </w:rPr>
              <w:t>便携式</w:t>
            </w:r>
            <w:r>
              <w:rPr>
                <w:rFonts w:hint="default" w:ascii="Times New Roman" w:hAnsi="Times New Roman" w:cs="Times New Roman"/>
                <w:szCs w:val="21"/>
              </w:rPr>
              <w:t>PH计</w:t>
            </w:r>
          </w:p>
        </w:tc>
        <w:tc>
          <w:tcPr>
            <w:tcW w:w="1740" w:type="dxa"/>
            <w:vAlign w:val="center"/>
          </w:tcPr>
          <w:p>
            <w:pPr>
              <w:ind w:firstLine="12" w:firstLineChars="6"/>
              <w:jc w:val="center"/>
              <w:rPr>
                <w:rFonts w:hint="default" w:ascii="Times New Roman" w:hAnsi="Times New Roman" w:cs="Times New Roman"/>
                <w:spacing w:val="-6"/>
                <w:szCs w:val="21"/>
              </w:rPr>
            </w:pPr>
            <w:r>
              <w:rPr>
                <w:rFonts w:hint="eastAsia"/>
                <w:szCs w:val="21"/>
              </w:rPr>
              <w:t>PHB-4</w:t>
            </w:r>
          </w:p>
        </w:tc>
        <w:tc>
          <w:tcPr>
            <w:tcW w:w="2796" w:type="dxa"/>
            <w:tcMar>
              <w:left w:w="28" w:type="dxa"/>
              <w:right w:w="28" w:type="dxa"/>
            </w:tcMar>
            <w:vAlign w:val="center"/>
          </w:tcPr>
          <w:p>
            <w:pPr>
              <w:ind w:firstLine="12" w:firstLineChars="6"/>
              <w:jc w:val="center"/>
              <w:rPr>
                <w:rFonts w:hint="default" w:ascii="Times New Roman" w:hAnsi="Times New Roman" w:cs="Times New Roman"/>
                <w:spacing w:val="-6"/>
                <w:szCs w:val="21"/>
              </w:rPr>
            </w:pPr>
            <w:r>
              <w:rPr>
                <w:rFonts w:hint="default" w:ascii="Times New Roman" w:hAnsi="Times New Roman" w:cs="Times New Roman"/>
                <w:szCs w:val="21"/>
              </w:rPr>
              <w:t>pH</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COD恒温加热器</w:t>
            </w:r>
          </w:p>
        </w:tc>
        <w:tc>
          <w:tcPr>
            <w:tcW w:w="1740"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JH-12</w:t>
            </w:r>
          </w:p>
        </w:tc>
        <w:tc>
          <w:tcPr>
            <w:tcW w:w="2796" w:type="dxa"/>
            <w:tcMar>
              <w:left w:w="28" w:type="dxa"/>
              <w:right w:w="28" w:type="dxa"/>
            </w:tcMar>
            <w:vAlign w:val="center"/>
          </w:tcPr>
          <w:p>
            <w:pPr>
              <w:ind w:firstLine="12" w:firstLineChars="6"/>
              <w:jc w:val="center"/>
              <w:rPr>
                <w:rFonts w:hint="default" w:ascii="Times New Roman" w:hAnsi="Times New Roman" w:cs="Times New Roman"/>
                <w:spacing w:val="-6"/>
                <w:szCs w:val="21"/>
              </w:rPr>
            </w:pPr>
            <w:r>
              <w:rPr>
                <w:rFonts w:hint="default" w:ascii="Times New Roman" w:hAnsi="Times New Roman" w:cs="Times New Roman"/>
                <w:szCs w:val="21"/>
              </w:rPr>
              <w:t>COD</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功能检查合格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生化培养箱</w:t>
            </w:r>
          </w:p>
        </w:tc>
        <w:tc>
          <w:tcPr>
            <w:tcW w:w="1740"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SPX-150B</w:t>
            </w:r>
          </w:p>
        </w:tc>
        <w:tc>
          <w:tcPr>
            <w:tcW w:w="2796" w:type="dxa"/>
            <w:tcMar>
              <w:left w:w="28" w:type="dxa"/>
              <w:right w:w="28" w:type="dxa"/>
            </w:tcMar>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b/>
                <w:bCs/>
                <w:szCs w:val="21"/>
                <w:vertAlign w:val="subscript"/>
              </w:rPr>
              <w:t>5</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紫外可见分光光度计</w:t>
            </w:r>
          </w:p>
        </w:tc>
        <w:tc>
          <w:tcPr>
            <w:tcW w:w="1740"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UV-1801</w:t>
            </w:r>
          </w:p>
        </w:tc>
        <w:tc>
          <w:tcPr>
            <w:tcW w:w="2796" w:type="dxa"/>
            <w:tcMar>
              <w:left w:w="28" w:type="dxa"/>
              <w:right w:w="28" w:type="dxa"/>
            </w:tcMar>
            <w:vAlign w:val="center"/>
          </w:tcPr>
          <w:p>
            <w:pPr>
              <w:ind w:firstLine="12" w:firstLineChars="6"/>
              <w:jc w:val="center"/>
              <w:rPr>
                <w:rFonts w:hint="eastAsia" w:ascii="Times New Roman" w:hAnsi="Times New Roman" w:eastAsia="宋体" w:cs="Times New Roman"/>
                <w:spacing w:val="-6"/>
                <w:szCs w:val="21"/>
                <w:lang w:eastAsia="zh-CN"/>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-N、TP、TN、氯化氢</w:t>
            </w:r>
            <w:r>
              <w:rPr>
                <w:rFonts w:hint="eastAsia" w:cs="Times New Roman"/>
                <w:szCs w:val="21"/>
                <w:lang w:eastAsia="zh-CN"/>
              </w:rPr>
              <w:t>、铬酸雾</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eastAsia="宋体" w:cs="Times New Roman"/>
                <w:kern w:val="2"/>
                <w:sz w:val="21"/>
                <w:szCs w:val="21"/>
                <w:lang w:val="en-US" w:eastAsia="zh-CN" w:bidi="ar-SA"/>
              </w:rPr>
            </w:pPr>
            <w:r>
              <w:rPr>
                <w:rFonts w:hAnsi="宋体"/>
                <w:szCs w:val="21"/>
              </w:rPr>
              <w:t>离子色谱仪</w:t>
            </w:r>
          </w:p>
        </w:tc>
        <w:tc>
          <w:tcPr>
            <w:tcW w:w="1740" w:type="dxa"/>
            <w:vAlign w:val="center"/>
          </w:tcPr>
          <w:p>
            <w:pPr>
              <w:jc w:val="center"/>
              <w:rPr>
                <w:rFonts w:hint="default" w:ascii="Times New Roman" w:hAnsi="Times New Roman" w:eastAsia="宋体" w:cs="Times New Roman"/>
                <w:kern w:val="2"/>
                <w:sz w:val="21"/>
                <w:szCs w:val="21"/>
                <w:lang w:val="en-US" w:eastAsia="zh-CN" w:bidi="ar-SA"/>
              </w:rPr>
            </w:pPr>
            <w:r>
              <w:rPr>
                <w:szCs w:val="21"/>
              </w:rPr>
              <w:t>DX-120</w:t>
            </w:r>
          </w:p>
        </w:tc>
        <w:tc>
          <w:tcPr>
            <w:tcW w:w="2796" w:type="dxa"/>
            <w:tcMar>
              <w:left w:w="28" w:type="dxa"/>
              <w:right w:w="28" w:type="dxa"/>
            </w:tcMar>
            <w:vAlign w:val="center"/>
          </w:tcPr>
          <w:p>
            <w:pPr>
              <w:ind w:firstLine="12" w:firstLineChars="6"/>
              <w:jc w:val="center"/>
              <w:rPr>
                <w:rFonts w:hint="eastAsia" w:ascii="Times New Roman" w:hAnsi="Times New Roman" w:eastAsia="宋体" w:cs="Times New Roman"/>
                <w:szCs w:val="21"/>
                <w:lang w:eastAsia="zh-CN"/>
              </w:rPr>
            </w:pPr>
            <w:r>
              <w:rPr>
                <w:rFonts w:hint="eastAsia" w:cs="Times New Roman"/>
                <w:szCs w:val="21"/>
                <w:lang w:eastAsia="zh-CN"/>
              </w:rPr>
              <w:t>硫酸雾</w:t>
            </w:r>
          </w:p>
        </w:tc>
        <w:tc>
          <w:tcPr>
            <w:tcW w:w="1701"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宋体" w:hAnsi="宋体" w:eastAsia="宋体" w:cs="宋体"/>
                <w:kern w:val="2"/>
                <w:sz w:val="21"/>
                <w:szCs w:val="21"/>
                <w:lang w:val="en-US" w:eastAsia="zh-CN" w:bidi="ar-SA"/>
              </w:rPr>
            </w:pPr>
            <w:r>
              <w:rPr>
                <w:rFonts w:hint="eastAsia"/>
                <w:szCs w:val="21"/>
              </w:rPr>
              <w:t>电子天平</w:t>
            </w:r>
          </w:p>
        </w:tc>
        <w:tc>
          <w:tcPr>
            <w:tcW w:w="1740" w:type="dxa"/>
            <w:vAlign w:val="center"/>
          </w:tcPr>
          <w:p>
            <w:pPr>
              <w:jc w:val="center"/>
              <w:rPr>
                <w:rFonts w:hint="default" w:ascii="宋体" w:hAnsi="宋体" w:eastAsia="宋体" w:cs="宋体"/>
                <w:kern w:val="2"/>
                <w:sz w:val="21"/>
                <w:szCs w:val="21"/>
                <w:lang w:val="en-US" w:eastAsia="zh-CN" w:bidi="ar-SA"/>
              </w:rPr>
            </w:pPr>
            <w:r>
              <w:rPr>
                <w:rFonts w:hint="eastAsia"/>
                <w:szCs w:val="21"/>
              </w:rPr>
              <w:t>LS220A</w:t>
            </w:r>
          </w:p>
        </w:tc>
        <w:tc>
          <w:tcPr>
            <w:tcW w:w="2796" w:type="dxa"/>
            <w:tcMar>
              <w:left w:w="28" w:type="dxa"/>
              <w:right w:w="28" w:type="dxa"/>
            </w:tcMar>
            <w:vAlign w:val="center"/>
          </w:tcPr>
          <w:p>
            <w:pPr>
              <w:pStyle w:val="16"/>
              <w:spacing w:line="240" w:lineRule="auto"/>
              <w:ind w:firstLine="0" w:firstLineChars="0"/>
              <w:jc w:val="center"/>
              <w:rPr>
                <w:rFonts w:hint="eastAsia" w:ascii="Times New Roman" w:hAnsi="Times New Roman" w:eastAsia="宋体" w:cs="Times New Roman"/>
                <w:spacing w:val="-6"/>
                <w:sz w:val="21"/>
                <w:szCs w:val="21"/>
                <w:lang w:eastAsia="zh-CN"/>
              </w:rPr>
            </w:pPr>
            <w:r>
              <w:rPr>
                <w:rFonts w:hint="default" w:ascii="Times New Roman" w:hAnsi="Times New Roman" w:cs="Times New Roman"/>
                <w:sz w:val="21"/>
                <w:szCs w:val="21"/>
              </w:rPr>
              <w:t>SS</w:t>
            </w:r>
            <w:r>
              <w:rPr>
                <w:rFonts w:hint="eastAsia" w:ascii="Times New Roman" w:hAnsi="Times New Roman" w:cs="Times New Roman"/>
                <w:sz w:val="21"/>
                <w:szCs w:val="21"/>
                <w:lang w:eastAsia="zh-CN"/>
              </w:rPr>
              <w:t>、颗粒物</w:t>
            </w:r>
          </w:p>
        </w:tc>
        <w:tc>
          <w:tcPr>
            <w:tcW w:w="1701" w:type="dxa"/>
            <w:vAlign w:val="center"/>
          </w:tcPr>
          <w:p>
            <w:pPr>
              <w:pStyle w:val="1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红外分光测油仪</w:t>
            </w:r>
          </w:p>
        </w:tc>
        <w:tc>
          <w:tcPr>
            <w:tcW w:w="1740"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JLBG-126</w:t>
            </w:r>
          </w:p>
        </w:tc>
        <w:tc>
          <w:tcPr>
            <w:tcW w:w="2796" w:type="dxa"/>
            <w:tcMar>
              <w:left w:w="28" w:type="dxa"/>
              <w:right w:w="28" w:type="dxa"/>
            </w:tcMar>
            <w:vAlign w:val="center"/>
          </w:tcPr>
          <w:p>
            <w:pPr>
              <w:jc w:val="center"/>
              <w:rPr>
                <w:rFonts w:hint="default" w:ascii="Times New Roman" w:hAnsi="Times New Roman" w:cs="Times New Roman"/>
                <w:spacing w:val="-10"/>
                <w:szCs w:val="21"/>
              </w:rPr>
            </w:pPr>
            <w:r>
              <w:rPr>
                <w:rFonts w:hint="default" w:ascii="Times New Roman" w:hAnsi="Times New Roman" w:cs="Times New Roman"/>
                <w:szCs w:val="21"/>
              </w:rPr>
              <w:t>动植物油类</w:t>
            </w:r>
          </w:p>
        </w:tc>
        <w:tc>
          <w:tcPr>
            <w:tcW w:w="1701" w:type="dxa"/>
            <w:vAlign w:val="center"/>
          </w:tcPr>
          <w:p>
            <w:pPr>
              <w:pStyle w:val="1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eastAsia="宋体" w:cs="Times New Roman"/>
                <w:kern w:val="2"/>
                <w:sz w:val="21"/>
                <w:szCs w:val="21"/>
                <w:lang w:val="en-US" w:eastAsia="zh-CN" w:bidi="ar-SA"/>
              </w:rPr>
            </w:pPr>
            <w:r>
              <w:rPr>
                <w:rFonts w:hAnsi="宋体"/>
                <w:szCs w:val="21"/>
              </w:rPr>
              <w:t>台式气相色谱</w:t>
            </w:r>
            <w:r>
              <w:rPr>
                <w:szCs w:val="21"/>
              </w:rPr>
              <w:t>-</w:t>
            </w:r>
            <w:r>
              <w:rPr>
                <w:rFonts w:hAnsi="宋体"/>
                <w:szCs w:val="21"/>
              </w:rPr>
              <w:t>质谱联用仪</w:t>
            </w:r>
          </w:p>
        </w:tc>
        <w:tc>
          <w:tcPr>
            <w:tcW w:w="1740" w:type="dxa"/>
            <w:vAlign w:val="center"/>
          </w:tcPr>
          <w:p>
            <w:pPr>
              <w:jc w:val="center"/>
              <w:rPr>
                <w:rFonts w:hint="default" w:ascii="Times New Roman" w:hAnsi="Times New Roman" w:eastAsia="宋体" w:cs="Times New Roman"/>
                <w:kern w:val="2"/>
                <w:sz w:val="21"/>
                <w:szCs w:val="21"/>
                <w:lang w:val="en-US" w:eastAsia="zh-CN" w:bidi="ar-SA"/>
              </w:rPr>
            </w:pPr>
            <w:r>
              <w:rPr>
                <w:szCs w:val="21"/>
              </w:rPr>
              <w:t>GC-7890A-MS-5975C</w:t>
            </w:r>
          </w:p>
        </w:tc>
        <w:tc>
          <w:tcPr>
            <w:tcW w:w="2796" w:type="dxa"/>
            <w:tcMar>
              <w:left w:w="28" w:type="dxa"/>
              <w:right w:w="28" w:type="dxa"/>
            </w:tcMar>
            <w:vAlign w:val="center"/>
          </w:tcPr>
          <w:p>
            <w:pPr>
              <w:jc w:val="center"/>
              <w:rPr>
                <w:rFonts w:hint="default" w:ascii="Times New Roman" w:hAnsi="Times New Roman" w:cs="Times New Roman"/>
                <w:spacing w:val="-6"/>
                <w:szCs w:val="21"/>
              </w:rPr>
            </w:pPr>
            <w:r>
              <w:rPr>
                <w:rFonts w:hint="default" w:ascii="Times New Roman" w:hAnsi="Times New Roman" w:cs="Times New Roman"/>
                <w:spacing w:val="-6"/>
                <w:szCs w:val="21"/>
              </w:rPr>
              <w:t>VOCs</w:t>
            </w:r>
          </w:p>
        </w:tc>
        <w:tc>
          <w:tcPr>
            <w:tcW w:w="1701"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校准合格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Times New Roman" w:hAnsi="Times New Roman" w:eastAsia="宋体" w:cs="Times New Roman"/>
                <w:kern w:val="2"/>
                <w:sz w:val="21"/>
                <w:szCs w:val="21"/>
                <w:lang w:val="en-US" w:eastAsia="zh-CN" w:bidi="ar-SA"/>
              </w:rPr>
            </w:pPr>
            <w:r>
              <w:rPr>
                <w:rFonts w:hAnsi="宋体"/>
                <w:szCs w:val="21"/>
              </w:rPr>
              <w:t>自动烟尘</w:t>
            </w:r>
            <w:r>
              <w:rPr>
                <w:szCs w:val="21"/>
              </w:rPr>
              <w:t>(</w:t>
            </w:r>
            <w:r>
              <w:rPr>
                <w:rFonts w:hAnsi="宋体"/>
                <w:szCs w:val="21"/>
              </w:rPr>
              <w:t>气</w:t>
            </w:r>
            <w:r>
              <w:rPr>
                <w:szCs w:val="21"/>
              </w:rPr>
              <w:t>)</w:t>
            </w:r>
            <w:r>
              <w:rPr>
                <w:rFonts w:hAnsi="宋体"/>
                <w:szCs w:val="21"/>
              </w:rPr>
              <w:t>测试仪</w:t>
            </w:r>
          </w:p>
        </w:tc>
        <w:tc>
          <w:tcPr>
            <w:tcW w:w="1740" w:type="dxa"/>
            <w:vAlign w:val="center"/>
          </w:tcPr>
          <w:p>
            <w:pPr>
              <w:jc w:val="center"/>
              <w:rPr>
                <w:rFonts w:ascii="Times New Roman" w:hAnsi="Times New Roman" w:eastAsia="宋体" w:cs="Times New Roman"/>
                <w:kern w:val="2"/>
                <w:sz w:val="21"/>
                <w:szCs w:val="21"/>
                <w:lang w:val="en-US" w:eastAsia="zh-CN" w:bidi="ar-SA"/>
              </w:rPr>
            </w:pPr>
            <w:r>
              <w:rPr>
                <w:rFonts w:hAnsi="宋体"/>
                <w:szCs w:val="21"/>
              </w:rPr>
              <w:t>崂应</w:t>
            </w:r>
            <w:r>
              <w:rPr>
                <w:szCs w:val="21"/>
              </w:rPr>
              <w:t>3012H</w:t>
            </w:r>
            <w:r>
              <w:rPr>
                <w:rFonts w:hAnsi="宋体"/>
                <w:szCs w:val="21"/>
              </w:rPr>
              <w:t>型</w:t>
            </w:r>
          </w:p>
        </w:tc>
        <w:tc>
          <w:tcPr>
            <w:tcW w:w="2796" w:type="dxa"/>
            <w:tcMar>
              <w:left w:w="28" w:type="dxa"/>
              <w:right w:w="28" w:type="dxa"/>
            </w:tcMar>
            <w:vAlign w:val="center"/>
          </w:tcPr>
          <w:p>
            <w:pPr>
              <w:jc w:val="center"/>
              <w:rPr>
                <w:rFonts w:hint="eastAsia" w:ascii="Times New Roman" w:hAnsi="Times New Roman" w:eastAsia="宋体" w:cs="Times New Roman"/>
                <w:spacing w:val="-6"/>
                <w:szCs w:val="21"/>
                <w:lang w:eastAsia="zh-CN"/>
              </w:rPr>
            </w:pPr>
            <w:r>
              <w:rPr>
                <w:rFonts w:hint="eastAsia" w:cs="Times New Roman"/>
                <w:spacing w:val="-6"/>
                <w:szCs w:val="21"/>
                <w:lang w:eastAsia="zh-CN"/>
              </w:rPr>
              <w:t>颗粒物、硫酸雾、铬酸雾</w:t>
            </w:r>
          </w:p>
        </w:tc>
        <w:tc>
          <w:tcPr>
            <w:tcW w:w="1701"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jc w:val="center"/>
              <w:rPr>
                <w:rFonts w:hint="default" w:ascii="宋体" w:hAnsi="宋体" w:eastAsia="宋体" w:cs="宋体"/>
                <w:kern w:val="2"/>
                <w:sz w:val="21"/>
                <w:szCs w:val="21"/>
                <w:lang w:val="en-US" w:eastAsia="zh-CN" w:bidi="ar-SA"/>
              </w:rPr>
            </w:pPr>
            <w:r>
              <w:rPr>
                <w:rFonts w:hint="eastAsia"/>
                <w:szCs w:val="21"/>
              </w:rPr>
              <w:t>便携式个体采样器</w:t>
            </w:r>
          </w:p>
        </w:tc>
        <w:tc>
          <w:tcPr>
            <w:tcW w:w="1740" w:type="dxa"/>
            <w:vAlign w:val="center"/>
          </w:tcPr>
          <w:p>
            <w:pPr>
              <w:jc w:val="center"/>
              <w:rPr>
                <w:rFonts w:hint="default" w:ascii="Times New Roman" w:hAnsi="Times New Roman" w:eastAsia="宋体" w:cs="Times New Roman"/>
                <w:kern w:val="2"/>
                <w:sz w:val="21"/>
                <w:szCs w:val="21"/>
                <w:lang w:val="en-US" w:eastAsia="zh-CN" w:bidi="ar-SA"/>
              </w:rPr>
            </w:pPr>
            <w:r>
              <w:rPr>
                <w:szCs w:val="21"/>
              </w:rPr>
              <w:t>EM-5000</w:t>
            </w:r>
          </w:p>
        </w:tc>
        <w:tc>
          <w:tcPr>
            <w:tcW w:w="2796" w:type="dxa"/>
            <w:tcMar>
              <w:left w:w="28" w:type="dxa"/>
              <w:right w:w="28" w:type="dxa"/>
            </w:tcMar>
            <w:vAlign w:val="center"/>
          </w:tcPr>
          <w:p>
            <w:pPr>
              <w:jc w:val="center"/>
              <w:rPr>
                <w:rFonts w:hint="default" w:ascii="Times New Roman" w:hAnsi="Times New Roman" w:cs="Times New Roman"/>
                <w:spacing w:val="-6"/>
                <w:szCs w:val="21"/>
              </w:rPr>
            </w:pPr>
            <w:r>
              <w:rPr>
                <w:rFonts w:hint="default" w:ascii="Times New Roman" w:hAnsi="Times New Roman" w:cs="Times New Roman"/>
                <w:spacing w:val="-6"/>
                <w:szCs w:val="21"/>
              </w:rPr>
              <w:t>VOCs、氯化氢</w:t>
            </w:r>
          </w:p>
        </w:tc>
        <w:tc>
          <w:tcPr>
            <w:tcW w:w="1701"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2329" w:type="dxa"/>
            <w:tcMar>
              <w:left w:w="28" w:type="dxa"/>
              <w:right w:w="28" w:type="dxa"/>
            </w:tcMar>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多功能声级计</w:t>
            </w:r>
          </w:p>
        </w:tc>
        <w:tc>
          <w:tcPr>
            <w:tcW w:w="1740"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AWA5680型</w:t>
            </w:r>
          </w:p>
        </w:tc>
        <w:tc>
          <w:tcPr>
            <w:tcW w:w="2796" w:type="dxa"/>
            <w:tcMar>
              <w:left w:w="28" w:type="dxa"/>
              <w:right w:w="28" w:type="dxa"/>
            </w:tcMar>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噪声</w:t>
            </w:r>
          </w:p>
        </w:tc>
        <w:tc>
          <w:tcPr>
            <w:tcW w:w="1701" w:type="dxa"/>
            <w:vAlign w:val="center"/>
          </w:tcPr>
          <w:p>
            <w:pPr>
              <w:pStyle w:val="16"/>
              <w:spacing w:line="240" w:lineRule="auto"/>
              <w:ind w:firstLine="0" w:firstLineChars="0"/>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校准合格</w:t>
            </w:r>
          </w:p>
        </w:tc>
      </w:tr>
    </w:tbl>
    <w:p>
      <w:pPr>
        <w:pStyle w:val="34"/>
        <w:spacing w:beforeLines="0"/>
        <w:rPr>
          <w:rFonts w:hint="default" w:ascii="Times New Roman" w:hAnsi="Times New Roman" w:cs="Times New Roman"/>
        </w:rPr>
      </w:pPr>
      <w:r>
        <w:rPr>
          <w:rFonts w:hint="default" w:ascii="Times New Roman" w:hAnsi="Times New Roman" w:cs="Times New Roman"/>
        </w:rPr>
        <w:t>9.3 人员资质</w:t>
      </w:r>
      <w:bookmarkEnd w:id="195"/>
      <w:bookmarkEnd w:id="196"/>
    </w:p>
    <w:p>
      <w:pPr>
        <w:pStyle w:val="75"/>
        <w:snapToGrid/>
        <w:ind w:firstLine="560"/>
        <w:rPr>
          <w:rFonts w:hint="default" w:ascii="Times New Roman" w:hAnsi="Times New Roman" w:cs="Times New Roman"/>
        </w:rPr>
      </w:pPr>
      <w:r>
        <w:rPr>
          <w:rFonts w:hint="default" w:ascii="Times New Roman" w:hAnsi="Times New Roman" w:cs="Times New Roman"/>
        </w:rPr>
        <w:t>建设项目验收监测参与人员见表9-3：</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表9-3 建设项目验收监测参与人员一览表</w:t>
      </w:r>
    </w:p>
    <w:tbl>
      <w:tblPr>
        <w:tblStyle w:val="37"/>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83"/>
        <w:gridCol w:w="1583"/>
        <w:gridCol w:w="29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tblHeader/>
          <w:jc w:val="center"/>
        </w:trPr>
        <w:tc>
          <w:tcPr>
            <w:tcW w:w="1583" w:type="dxa"/>
            <w:vAlign w:val="center"/>
          </w:tcPr>
          <w:p>
            <w:pPr>
              <w:jc w:val="center"/>
              <w:rPr>
                <w:rFonts w:hint="default" w:ascii="Times New Roman" w:hAnsi="Times New Roman" w:cs="Times New Roman"/>
                <w:szCs w:val="21"/>
              </w:rPr>
            </w:pPr>
            <w:bookmarkStart w:id="197" w:name="_Toc497397857"/>
            <w:bookmarkStart w:id="198" w:name="_Toc428971258"/>
            <w:bookmarkStart w:id="199" w:name="_Toc431993850"/>
            <w:bookmarkStart w:id="200" w:name="_Toc433958950"/>
            <w:bookmarkStart w:id="201" w:name="_Toc263672244"/>
            <w:bookmarkStart w:id="202" w:name="_Toc496198351"/>
            <w:bookmarkStart w:id="203" w:name="_Toc496198271"/>
            <w:bookmarkStart w:id="204" w:name="_Toc2867147"/>
            <w:bookmarkStart w:id="205" w:name="_Toc496198427"/>
            <w:bookmarkStart w:id="206" w:name="_Toc523410803"/>
            <w:r>
              <w:rPr>
                <w:rFonts w:hint="default" w:ascii="Times New Roman" w:hAnsi="Times New Roman" w:cs="Times New Roman"/>
                <w:szCs w:val="21"/>
              </w:rPr>
              <w:t>人员</w:t>
            </w:r>
          </w:p>
        </w:tc>
        <w:tc>
          <w:tcPr>
            <w:tcW w:w="158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2977"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职位/职称</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rFonts w:hint="default" w:ascii="Times New Roman" w:hAnsi="Times New Roman" w:cs="Times New Roman"/>
                <w:spacing w:val="-6"/>
                <w:szCs w:val="21"/>
              </w:rPr>
            </w:pPr>
            <w:r>
              <w:rPr>
                <w:rFonts w:hint="default" w:ascii="Times New Roman" w:hAnsi="Times New Roman" w:cs="Times New Roman"/>
                <w:szCs w:val="21"/>
              </w:rPr>
              <w:t>项目负责人</w:t>
            </w:r>
          </w:p>
        </w:tc>
        <w:tc>
          <w:tcPr>
            <w:tcW w:w="1583"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高鸿州</w:t>
            </w:r>
          </w:p>
        </w:tc>
        <w:tc>
          <w:tcPr>
            <w:tcW w:w="2977" w:type="dxa"/>
            <w:tcMar>
              <w:left w:w="28" w:type="dxa"/>
              <w:right w:w="28" w:type="dxa"/>
            </w:tcMar>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评价室检测员</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rFonts w:hint="default" w:ascii="Times New Roman" w:hAnsi="Times New Roman" w:cs="Times New Roman"/>
                <w:spacing w:val="-6"/>
                <w:szCs w:val="21"/>
              </w:rPr>
            </w:pPr>
            <w:r>
              <w:rPr>
                <w:rFonts w:hint="default" w:ascii="Times New Roman" w:hAnsi="Times New Roman" w:cs="Times New Roman"/>
                <w:szCs w:val="21"/>
              </w:rPr>
              <w:t>报告编制人</w:t>
            </w:r>
          </w:p>
        </w:tc>
        <w:tc>
          <w:tcPr>
            <w:tcW w:w="1583"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高鸿州</w:t>
            </w:r>
          </w:p>
        </w:tc>
        <w:tc>
          <w:tcPr>
            <w:tcW w:w="2977" w:type="dxa"/>
            <w:tcMar>
              <w:left w:w="28" w:type="dxa"/>
              <w:right w:w="28" w:type="dxa"/>
            </w:tcMar>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评价室检测员</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rFonts w:hint="default" w:ascii="Times New Roman" w:hAnsi="Times New Roman" w:cs="Times New Roman"/>
                <w:spacing w:val="-6"/>
                <w:szCs w:val="21"/>
              </w:rPr>
            </w:pPr>
            <w:r>
              <w:rPr>
                <w:rFonts w:hint="default" w:ascii="Times New Roman" w:hAnsi="Times New Roman" w:cs="Times New Roman"/>
                <w:szCs w:val="21"/>
              </w:rPr>
              <w:t>报告审核人</w:t>
            </w:r>
          </w:p>
        </w:tc>
        <w:tc>
          <w:tcPr>
            <w:tcW w:w="1583" w:type="dxa"/>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陈金彪</w:t>
            </w:r>
          </w:p>
        </w:tc>
        <w:tc>
          <w:tcPr>
            <w:tcW w:w="2977" w:type="dxa"/>
            <w:tcMar>
              <w:left w:w="28" w:type="dxa"/>
              <w:right w:w="28" w:type="dxa"/>
            </w:tcMar>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评价室主任</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Align w:val="center"/>
          </w:tcPr>
          <w:p>
            <w:pPr>
              <w:jc w:val="center"/>
              <w:rPr>
                <w:rFonts w:hint="default" w:ascii="Times New Roman" w:hAnsi="Times New Roman" w:cs="Times New Roman"/>
                <w:spacing w:val="-6"/>
                <w:szCs w:val="21"/>
              </w:rPr>
            </w:pPr>
            <w:r>
              <w:rPr>
                <w:rFonts w:hint="default" w:ascii="Times New Roman" w:hAnsi="Times New Roman" w:cs="Times New Roman"/>
                <w:szCs w:val="21"/>
              </w:rPr>
              <w:t>报告审定人</w:t>
            </w:r>
          </w:p>
        </w:tc>
        <w:tc>
          <w:tcPr>
            <w:tcW w:w="1583" w:type="dxa"/>
            <w:vAlign w:val="center"/>
          </w:tcPr>
          <w:p>
            <w:pPr>
              <w:ind w:firstLine="11" w:firstLineChars="6"/>
              <w:jc w:val="center"/>
              <w:rPr>
                <w:rFonts w:hint="eastAsia" w:ascii="Times New Roman" w:hAnsi="Times New Roman" w:eastAsia="宋体" w:cs="Times New Roman"/>
                <w:spacing w:val="-6"/>
                <w:szCs w:val="21"/>
                <w:lang w:val="en-US" w:eastAsia="zh-CN"/>
              </w:rPr>
            </w:pPr>
            <w:r>
              <w:rPr>
                <w:rFonts w:hint="default" w:ascii="Times New Roman" w:hAnsi="Times New Roman" w:cs="Times New Roman"/>
                <w:spacing w:val="-6"/>
                <w:szCs w:val="21"/>
              </w:rPr>
              <w:t>黄海燕</w:t>
            </w:r>
            <w:r>
              <w:rPr>
                <w:rFonts w:hint="eastAsia" w:cs="Times New Roman"/>
                <w:spacing w:val="-6"/>
                <w:szCs w:val="21"/>
                <w:lang w:val="en-US" w:eastAsia="zh-CN"/>
              </w:rPr>
              <w:t xml:space="preserve"> </w:t>
            </w:r>
          </w:p>
        </w:tc>
        <w:tc>
          <w:tcPr>
            <w:tcW w:w="2977" w:type="dxa"/>
            <w:tcMar>
              <w:left w:w="28" w:type="dxa"/>
              <w:right w:w="28" w:type="dxa"/>
            </w:tcMar>
            <w:vAlign w:val="center"/>
          </w:tcPr>
          <w:p>
            <w:pPr>
              <w:ind w:firstLine="11" w:firstLineChars="6"/>
              <w:jc w:val="center"/>
              <w:rPr>
                <w:rFonts w:hint="default" w:ascii="Times New Roman" w:hAnsi="Times New Roman" w:cs="Times New Roman"/>
                <w:spacing w:val="-6"/>
                <w:szCs w:val="21"/>
              </w:rPr>
            </w:pPr>
            <w:r>
              <w:rPr>
                <w:rFonts w:hint="default" w:ascii="Times New Roman" w:hAnsi="Times New Roman" w:cs="Times New Roman"/>
                <w:spacing w:val="-6"/>
                <w:szCs w:val="21"/>
              </w:rPr>
              <w:t>技术负责人/工程师</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restart"/>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r>
              <w:rPr>
                <w:rFonts w:hint="default" w:ascii="Times New Roman" w:hAnsi="Times New Roman" w:cs="Times New Roman"/>
                <w:sz w:val="21"/>
                <w:szCs w:val="21"/>
              </w:rPr>
              <w:t>其他成员</w:t>
            </w:r>
          </w:p>
        </w:tc>
        <w:tc>
          <w:tcPr>
            <w:tcW w:w="1583"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谢娟补</w:t>
            </w:r>
          </w:p>
        </w:tc>
        <w:tc>
          <w:tcPr>
            <w:tcW w:w="2977" w:type="dxa"/>
            <w:tcMar>
              <w:left w:w="28" w:type="dxa"/>
              <w:right w:w="28" w:type="dxa"/>
            </w:tcMar>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评价室检测员</w:t>
            </w:r>
          </w:p>
        </w:tc>
        <w:tc>
          <w:tcPr>
            <w:tcW w:w="1677"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XH201808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sz w:val="21"/>
                <w:szCs w:val="21"/>
              </w:rPr>
            </w:pPr>
          </w:p>
        </w:tc>
        <w:tc>
          <w:tcPr>
            <w:tcW w:w="1583"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胡博人</w:t>
            </w:r>
          </w:p>
        </w:tc>
        <w:tc>
          <w:tcPr>
            <w:tcW w:w="2977" w:type="dxa"/>
            <w:tcMar>
              <w:left w:w="28" w:type="dxa"/>
              <w:right w:w="28" w:type="dxa"/>
            </w:tcMar>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评                                                                         保护工程价室检测员</w:t>
            </w:r>
          </w:p>
        </w:tc>
        <w:tc>
          <w:tcPr>
            <w:tcW w:w="1677"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XH201809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sz w:val="21"/>
                <w:szCs w:val="21"/>
              </w:rPr>
            </w:pPr>
          </w:p>
        </w:tc>
        <w:tc>
          <w:tcPr>
            <w:tcW w:w="1583" w:type="dxa"/>
            <w:vAlign w:val="center"/>
          </w:tcPr>
          <w:p>
            <w:pPr>
              <w:pStyle w:val="16"/>
              <w:spacing w:line="240" w:lineRule="auto"/>
              <w:ind w:firstLine="0" w:firstLineChars="0"/>
              <w:jc w:val="center"/>
              <w:rPr>
                <w:rFonts w:hint="default" w:ascii="Times New Roman" w:hAnsi="Times New Roman" w:eastAsia="宋体" w:cs="Times New Roman"/>
                <w:color w:val="000000"/>
                <w:spacing w:val="-6"/>
                <w:sz w:val="21"/>
                <w:szCs w:val="21"/>
                <w:lang w:val="en-US" w:eastAsia="zh-CN"/>
              </w:rPr>
            </w:pPr>
            <w:r>
              <w:rPr>
                <w:rFonts w:hint="default" w:ascii="Times New Roman" w:hAnsi="Times New Roman" w:cs="Times New Roman"/>
                <w:color w:val="000000"/>
                <w:spacing w:val="-6"/>
                <w:sz w:val="21"/>
                <w:szCs w:val="21"/>
              </w:rPr>
              <w:t>万语</w:t>
            </w:r>
            <w:r>
              <w:rPr>
                <w:rFonts w:hint="eastAsia" w:ascii="Times New Roman" w:hAnsi="Times New Roman" w:cs="Times New Roman"/>
                <w:color w:val="000000"/>
                <w:spacing w:val="-6"/>
                <w:sz w:val="21"/>
                <w:szCs w:val="21"/>
                <w:lang w:val="en-US" w:eastAsia="zh-CN"/>
              </w:rPr>
              <w:t xml:space="preserve">                      </w:t>
            </w:r>
          </w:p>
        </w:tc>
        <w:tc>
          <w:tcPr>
            <w:tcW w:w="2977" w:type="dxa"/>
            <w:tcMar>
              <w:left w:w="28" w:type="dxa"/>
              <w:right w:w="28" w:type="dxa"/>
            </w:tcMar>
            <w:vAlign w:val="center"/>
          </w:tcPr>
          <w:p>
            <w:pPr>
              <w:jc w:val="center"/>
              <w:rPr>
                <w:rFonts w:hint="default" w:ascii="Times New Roman" w:hAnsi="Times New Roman" w:cs="Times New Roman"/>
                <w:spacing w:val="-6"/>
                <w:szCs w:val="21"/>
              </w:rPr>
            </w:pPr>
            <w:r>
              <w:rPr>
                <w:rFonts w:hint="default" w:ascii="Times New Roman" w:hAnsi="Times New Roman" w:cs="Times New Roman"/>
                <w:szCs w:val="21"/>
              </w:rPr>
              <w:t>分析室检测员</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sz w:val="21"/>
                <w:szCs w:val="21"/>
              </w:rPr>
            </w:pPr>
          </w:p>
        </w:tc>
        <w:tc>
          <w:tcPr>
            <w:tcW w:w="1583"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叶孙文</w:t>
            </w:r>
          </w:p>
        </w:tc>
        <w:tc>
          <w:tcPr>
            <w:tcW w:w="2977" w:type="dxa"/>
            <w:tcMar>
              <w:left w:w="28" w:type="dxa"/>
              <w:right w:w="28" w:type="dxa"/>
            </w:tcMar>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分析室检测员</w:t>
            </w:r>
          </w:p>
        </w:tc>
        <w:tc>
          <w:tcPr>
            <w:tcW w:w="1677"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XH201923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sz w:val="21"/>
                <w:szCs w:val="21"/>
              </w:rPr>
            </w:pPr>
          </w:p>
        </w:tc>
        <w:tc>
          <w:tcPr>
            <w:tcW w:w="1583"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袁莉婷</w:t>
            </w:r>
          </w:p>
        </w:tc>
        <w:tc>
          <w:tcPr>
            <w:tcW w:w="2977" w:type="dxa"/>
            <w:tcMar>
              <w:left w:w="28" w:type="dxa"/>
              <w:right w:w="28" w:type="dxa"/>
            </w:tcMar>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分析室检测员</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p>
        </w:tc>
        <w:tc>
          <w:tcPr>
            <w:tcW w:w="1583" w:type="dxa"/>
            <w:vAlign w:val="center"/>
          </w:tcPr>
          <w:p>
            <w:pPr>
              <w:pStyle w:val="16"/>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盖诗佳</w:t>
            </w:r>
          </w:p>
        </w:tc>
        <w:tc>
          <w:tcPr>
            <w:tcW w:w="2977" w:type="dxa"/>
            <w:tcMar>
              <w:left w:w="28" w:type="dxa"/>
              <w:right w:w="28" w:type="dxa"/>
            </w:tcMar>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分析室检测员</w:t>
            </w:r>
          </w:p>
        </w:tc>
        <w:tc>
          <w:tcPr>
            <w:tcW w:w="1677" w:type="dxa"/>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p>
        </w:tc>
        <w:tc>
          <w:tcPr>
            <w:tcW w:w="1583" w:type="dxa"/>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周玲玲</w:t>
            </w:r>
          </w:p>
        </w:tc>
        <w:tc>
          <w:tcPr>
            <w:tcW w:w="2977" w:type="dxa"/>
            <w:tcMar>
              <w:left w:w="28" w:type="dxa"/>
              <w:right w:w="28" w:type="dxa"/>
            </w:tcMar>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分析室检测员</w:t>
            </w:r>
          </w:p>
        </w:tc>
        <w:tc>
          <w:tcPr>
            <w:tcW w:w="1677" w:type="dxa"/>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XH201910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p>
        </w:tc>
        <w:tc>
          <w:tcPr>
            <w:tcW w:w="1583" w:type="dxa"/>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吴敏</w:t>
            </w:r>
          </w:p>
        </w:tc>
        <w:tc>
          <w:tcPr>
            <w:tcW w:w="2977" w:type="dxa"/>
            <w:tcMar>
              <w:left w:w="28" w:type="dxa"/>
              <w:right w:w="28" w:type="dxa"/>
            </w:tcMar>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分析室检测员</w:t>
            </w:r>
          </w:p>
        </w:tc>
        <w:tc>
          <w:tcPr>
            <w:tcW w:w="1677" w:type="dxa"/>
            <w:vAlign w:val="center"/>
          </w:tcPr>
          <w:p>
            <w:pPr>
              <w:ind w:firstLine="12" w:firstLineChars="6"/>
              <w:jc w:val="center"/>
              <w:rPr>
                <w:rFonts w:hint="default" w:ascii="Times New Roman" w:hAnsi="Times New Roman" w:cs="Times New Roman"/>
                <w:color w:val="auto"/>
                <w:szCs w:val="21"/>
              </w:rPr>
            </w:pPr>
            <w:r>
              <w:rPr>
                <w:rFonts w:hint="default" w:ascii="Times New Roman" w:hAnsi="Times New Roman" w:cs="Times New Roman"/>
                <w:color w:val="auto"/>
                <w:szCs w:val="21"/>
              </w:rPr>
              <w:t>XH201818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p>
        </w:tc>
        <w:tc>
          <w:tcPr>
            <w:tcW w:w="1583"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党锦涛</w:t>
            </w:r>
          </w:p>
        </w:tc>
        <w:tc>
          <w:tcPr>
            <w:tcW w:w="2977" w:type="dxa"/>
            <w:tcMar>
              <w:left w:w="28" w:type="dxa"/>
              <w:right w:w="28" w:type="dxa"/>
            </w:tcMar>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分析室检测员</w:t>
            </w:r>
          </w:p>
        </w:tc>
        <w:tc>
          <w:tcPr>
            <w:tcW w:w="1677"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XH202012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color w:val="000000"/>
                <w:spacing w:val="-6"/>
                <w:sz w:val="21"/>
                <w:szCs w:val="21"/>
              </w:rPr>
            </w:pPr>
          </w:p>
        </w:tc>
        <w:tc>
          <w:tcPr>
            <w:tcW w:w="1583"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李昌浩</w:t>
            </w:r>
          </w:p>
        </w:tc>
        <w:tc>
          <w:tcPr>
            <w:tcW w:w="2977" w:type="dxa"/>
            <w:tcMar>
              <w:left w:w="28" w:type="dxa"/>
              <w:right w:w="28" w:type="dxa"/>
            </w:tcMar>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分析室检测员</w:t>
            </w:r>
          </w:p>
        </w:tc>
        <w:tc>
          <w:tcPr>
            <w:tcW w:w="1677" w:type="dxa"/>
            <w:vAlign w:val="center"/>
          </w:tcPr>
          <w:p>
            <w:pPr>
              <w:ind w:firstLine="12" w:firstLineChars="6"/>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XH202011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1583" w:type="dxa"/>
            <w:vMerge w:val="continue"/>
            <w:vAlign w:val="center"/>
          </w:tcPr>
          <w:p>
            <w:pPr>
              <w:pStyle w:val="16"/>
              <w:spacing w:line="240" w:lineRule="auto"/>
              <w:ind w:firstLine="0" w:firstLineChars="0"/>
              <w:jc w:val="center"/>
              <w:rPr>
                <w:rFonts w:hint="default" w:ascii="Times New Roman" w:hAnsi="Times New Roman" w:cs="Times New Roman"/>
                <w:sz w:val="21"/>
                <w:szCs w:val="21"/>
              </w:rPr>
            </w:pPr>
          </w:p>
        </w:tc>
        <w:tc>
          <w:tcPr>
            <w:tcW w:w="1583" w:type="dxa"/>
            <w:vAlign w:val="center"/>
          </w:tcPr>
          <w:p>
            <w:pPr>
              <w:pStyle w:val="1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陈 虹</w:t>
            </w:r>
          </w:p>
        </w:tc>
        <w:tc>
          <w:tcPr>
            <w:tcW w:w="2977"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分析室主任</w:t>
            </w:r>
          </w:p>
        </w:tc>
        <w:tc>
          <w:tcPr>
            <w:tcW w:w="1677" w:type="dxa"/>
            <w:vAlign w:val="center"/>
          </w:tcPr>
          <w:p>
            <w:pPr>
              <w:ind w:firstLine="12" w:firstLineChars="6"/>
              <w:jc w:val="center"/>
              <w:rPr>
                <w:rFonts w:hint="default" w:ascii="Times New Roman" w:hAnsi="Times New Roman" w:cs="Times New Roman"/>
                <w:szCs w:val="21"/>
              </w:rPr>
            </w:pPr>
            <w:r>
              <w:rPr>
                <w:rFonts w:hint="default" w:ascii="Times New Roman" w:hAnsi="Times New Roman" w:cs="Times New Roman"/>
                <w:szCs w:val="21"/>
              </w:rPr>
              <w:t>XH201721</w:t>
            </w:r>
          </w:p>
        </w:tc>
      </w:tr>
      <w:bookmarkEnd w:id="197"/>
    </w:tbl>
    <w:p>
      <w:pPr>
        <w:pStyle w:val="34"/>
        <w:spacing w:beforeLines="0"/>
        <w:rPr>
          <w:rFonts w:hint="default" w:ascii="Times New Roman" w:hAnsi="Times New Roman" w:cs="Times New Roman"/>
        </w:rPr>
      </w:pPr>
      <w:r>
        <w:rPr>
          <w:rFonts w:hint="default" w:ascii="Times New Roman" w:hAnsi="Times New Roman" w:cs="Times New Roman"/>
        </w:rPr>
        <w:t xml:space="preserve">9.4 </w:t>
      </w:r>
      <w:bookmarkEnd w:id="198"/>
      <w:bookmarkEnd w:id="199"/>
      <w:bookmarkEnd w:id="200"/>
      <w:bookmarkEnd w:id="201"/>
      <w:r>
        <w:rPr>
          <w:rFonts w:hint="default" w:ascii="Times New Roman" w:hAnsi="Times New Roman" w:cs="Times New Roman"/>
        </w:rPr>
        <w:t>水质监测分析过程中的质量保证和质量控制</w:t>
      </w:r>
      <w:bookmarkEnd w:id="202"/>
      <w:bookmarkEnd w:id="203"/>
      <w:bookmarkEnd w:id="204"/>
      <w:bookmarkEnd w:id="205"/>
      <w:bookmarkEnd w:id="206"/>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color w:val="000000"/>
          <w:sz w:val="28"/>
          <w:szCs w:val="28"/>
        </w:rPr>
        <w:t>水样的采集、运输、保存、实验室分析和数据计算的全过程均按照《浙江省环境监测质量保证技术规定》(第三版 试行) (浙江省环境监测中心2019年)的要求进行。在现场监测期间，对废水入网口的水样采取平行样的方式进行质量控制。质量控制结果表明，本次水样的现场采集及实验室分析均满足质量控制要求</w:t>
      </w:r>
      <w:r>
        <w:rPr>
          <w:rFonts w:hint="default" w:ascii="Times New Roman" w:hAnsi="Times New Roman" w:cs="Times New Roman"/>
          <w:sz w:val="28"/>
          <w:szCs w:val="28"/>
        </w:rPr>
        <w:t>。平行样品质控结果见表9-4。</w:t>
      </w:r>
      <w:bookmarkStart w:id="207" w:name="_Toc262799662"/>
      <w:bookmarkStart w:id="208" w:name="_Toc263364391"/>
      <w:bookmarkStart w:id="209" w:name="_Toc262712283"/>
      <w:bookmarkStart w:id="210" w:name="_Toc263454894"/>
      <w:bookmarkStart w:id="211" w:name="_Toc263672245"/>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表9-4 现场平行样品质控结果表</w:t>
      </w:r>
    </w:p>
    <w:bookmarkEnd w:id="207"/>
    <w:bookmarkEnd w:id="208"/>
    <w:bookmarkEnd w:id="209"/>
    <w:bookmarkEnd w:id="210"/>
    <w:bookmarkEnd w:id="211"/>
    <w:tbl>
      <w:tblPr>
        <w:tblStyle w:val="37"/>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165"/>
        <w:gridCol w:w="1253"/>
        <w:gridCol w:w="1254"/>
        <w:gridCol w:w="1088"/>
        <w:gridCol w:w="108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1856"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bookmarkStart w:id="212" w:name="_Toc496198353"/>
            <w:bookmarkStart w:id="213" w:name="_Toc496198429"/>
            <w:bookmarkStart w:id="214" w:name="_Toc496198273"/>
            <w:r>
              <w:rPr>
                <w:rFonts w:hint="default" w:ascii="Times New Roman" w:hAnsi="Times New Roman" w:cs="Times New Roman"/>
                <w:color w:val="000000"/>
                <w:sz w:val="21"/>
                <w:szCs w:val="21"/>
              </w:rPr>
              <w:t>样品编号</w:t>
            </w:r>
          </w:p>
        </w:tc>
        <w:tc>
          <w:tcPr>
            <w:tcW w:w="1165"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1253"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测定值1</w:t>
            </w:r>
          </w:p>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254"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测定值2</w:t>
            </w:r>
          </w:p>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(mg/L)</w:t>
            </w:r>
          </w:p>
        </w:tc>
        <w:tc>
          <w:tcPr>
            <w:tcW w:w="1088" w:type="dxa"/>
            <w:tcMar>
              <w:left w:w="28" w:type="dxa"/>
              <w:right w:w="28"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snapToGrid w:val="0"/>
                <w:color w:val="000000"/>
                <w:kern w:val="0"/>
                <w:szCs w:val="21"/>
              </w:rPr>
              <w:t>相对偏差</w:t>
            </w:r>
            <w:r>
              <w:rPr>
                <w:rFonts w:hint="default" w:ascii="Times New Roman" w:hAnsi="Times New Roman" w:cs="Times New Roman"/>
                <w:color w:val="000000"/>
                <w:szCs w:val="21"/>
              </w:rPr>
              <w:t>(%)</w:t>
            </w:r>
          </w:p>
        </w:tc>
        <w:tc>
          <w:tcPr>
            <w:tcW w:w="1089"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允许偏差(%)</w:t>
            </w:r>
          </w:p>
        </w:tc>
        <w:tc>
          <w:tcPr>
            <w:tcW w:w="886" w:type="dxa"/>
            <w:tcMar>
              <w:left w:w="28" w:type="dxa"/>
              <w:right w:w="28" w:type="dxa"/>
            </w:tcMar>
            <w:vAlign w:val="center"/>
          </w:tcPr>
          <w:p>
            <w:pPr>
              <w:pStyle w:val="75"/>
              <w:spacing w:line="240" w:lineRule="auto"/>
              <w:ind w:left="-105" w:leftChars="-50" w:right="-105" w:rightChars="-5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restart"/>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auto"/>
                <w:sz w:val="21"/>
                <w:szCs w:val="21"/>
              </w:rPr>
              <w:t>HJ20</w:t>
            </w:r>
            <w:r>
              <w:rPr>
                <w:rFonts w:hint="eastAsia" w:ascii="Times New Roman" w:hAnsi="Times New Roman" w:cs="Times New Roman"/>
                <w:color w:val="auto"/>
                <w:sz w:val="21"/>
                <w:szCs w:val="21"/>
                <w:lang w:val="en-US" w:eastAsia="zh-CN"/>
              </w:rPr>
              <w:t>11242</w:t>
            </w:r>
            <w:r>
              <w:rPr>
                <w:rFonts w:hint="default" w:ascii="Times New Roman" w:hAnsi="Times New Roman" w:cs="Times New Roman"/>
                <w:color w:val="auto"/>
                <w:sz w:val="21"/>
                <w:szCs w:val="21"/>
              </w:rPr>
              <w:t>-008</w:t>
            </w:r>
          </w:p>
        </w:tc>
        <w:tc>
          <w:tcPr>
            <w:tcW w:w="1165"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1253"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387</w:t>
            </w:r>
          </w:p>
        </w:tc>
        <w:tc>
          <w:tcPr>
            <w:tcW w:w="1254"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417</w:t>
            </w:r>
          </w:p>
        </w:tc>
        <w:tc>
          <w:tcPr>
            <w:tcW w:w="1088" w:type="dxa"/>
            <w:tcMar>
              <w:left w:w="28" w:type="dxa"/>
              <w:right w:w="28" w:type="dxa"/>
            </w:tcMar>
            <w:vAlign w:val="center"/>
          </w:tcPr>
          <w:p>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3.7</w:t>
            </w:r>
          </w:p>
        </w:tc>
        <w:tc>
          <w:tcPr>
            <w:tcW w:w="1089"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NH</w:t>
            </w:r>
            <w:r>
              <w:rPr>
                <w:rFonts w:hint="default" w:ascii="Times New Roman" w:hAnsi="Times New Roman" w:cs="Times New Roman"/>
                <w:color w:val="000000"/>
                <w:sz w:val="21"/>
                <w:szCs w:val="21"/>
                <w:vertAlign w:val="subscript"/>
              </w:rPr>
              <w:t>3</w:t>
            </w:r>
            <w:r>
              <w:rPr>
                <w:rFonts w:hint="default" w:ascii="Times New Roman" w:hAnsi="Times New Roman" w:cs="Times New Roman"/>
                <w:color w:val="000000"/>
                <w:sz w:val="21"/>
                <w:szCs w:val="21"/>
              </w:rPr>
              <w:t>-N</w:t>
            </w:r>
          </w:p>
        </w:tc>
        <w:tc>
          <w:tcPr>
            <w:tcW w:w="1253"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14.3</w:t>
            </w:r>
          </w:p>
        </w:tc>
        <w:tc>
          <w:tcPr>
            <w:tcW w:w="1254"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14.5</w:t>
            </w:r>
          </w:p>
        </w:tc>
        <w:tc>
          <w:tcPr>
            <w:tcW w:w="1088" w:type="dxa"/>
            <w:tcMar>
              <w:left w:w="28" w:type="dxa"/>
              <w:right w:w="28" w:type="dxa"/>
            </w:tcMar>
            <w:vAlign w:val="center"/>
          </w:tcPr>
          <w:p>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0.7</w:t>
            </w:r>
          </w:p>
        </w:tc>
        <w:tc>
          <w:tcPr>
            <w:tcW w:w="1089"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≤20</w:t>
            </w:r>
          </w:p>
        </w:tc>
        <w:tc>
          <w:tcPr>
            <w:tcW w:w="886"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TP</w:t>
            </w:r>
          </w:p>
        </w:tc>
        <w:tc>
          <w:tcPr>
            <w:tcW w:w="1253"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0.69</w:t>
            </w:r>
          </w:p>
        </w:tc>
        <w:tc>
          <w:tcPr>
            <w:tcW w:w="1254"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0.76</w:t>
            </w:r>
          </w:p>
        </w:tc>
        <w:tc>
          <w:tcPr>
            <w:tcW w:w="1088" w:type="dxa"/>
            <w:tcMar>
              <w:left w:w="28" w:type="dxa"/>
              <w:right w:w="28" w:type="dxa"/>
            </w:tcMar>
            <w:vAlign w:val="center"/>
          </w:tcPr>
          <w:p>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4.8</w:t>
            </w:r>
          </w:p>
        </w:tc>
        <w:tc>
          <w:tcPr>
            <w:tcW w:w="1089"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≤10</w:t>
            </w:r>
          </w:p>
        </w:tc>
        <w:tc>
          <w:tcPr>
            <w:tcW w:w="886"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56" w:type="dxa"/>
            <w:vMerge w:val="continue"/>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p>
        </w:tc>
        <w:tc>
          <w:tcPr>
            <w:tcW w:w="1165"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TN</w:t>
            </w:r>
          </w:p>
        </w:tc>
        <w:tc>
          <w:tcPr>
            <w:tcW w:w="1253"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34.4</w:t>
            </w:r>
          </w:p>
        </w:tc>
        <w:tc>
          <w:tcPr>
            <w:tcW w:w="1254" w:type="dxa"/>
            <w:tcMar>
              <w:left w:w="28" w:type="dxa"/>
              <w:right w:w="28" w:type="dxa"/>
            </w:tcMar>
            <w:vAlign w:val="center"/>
          </w:tcPr>
          <w:p>
            <w:pPr>
              <w:jc w:val="center"/>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35.8</w:t>
            </w:r>
          </w:p>
        </w:tc>
        <w:tc>
          <w:tcPr>
            <w:tcW w:w="1088" w:type="dxa"/>
            <w:tcMar>
              <w:left w:w="28" w:type="dxa"/>
              <w:right w:w="28" w:type="dxa"/>
            </w:tcMar>
            <w:vAlign w:val="center"/>
          </w:tcPr>
          <w:p>
            <w:pPr>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2.0</w:t>
            </w:r>
          </w:p>
        </w:tc>
        <w:tc>
          <w:tcPr>
            <w:tcW w:w="1089"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≤15</w:t>
            </w:r>
          </w:p>
        </w:tc>
        <w:tc>
          <w:tcPr>
            <w:tcW w:w="886" w:type="dxa"/>
            <w:tcMar>
              <w:left w:w="28" w:type="dxa"/>
              <w:right w:w="28" w:type="dxa"/>
            </w:tcMar>
            <w:vAlign w:val="center"/>
          </w:tcPr>
          <w:p>
            <w:pPr>
              <w:pStyle w:val="75"/>
              <w:spacing w:line="240" w:lineRule="auto"/>
              <w:ind w:firstLine="0" w:firstLineChars="0"/>
              <w:jc w:val="center"/>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符合</w:t>
            </w:r>
          </w:p>
        </w:tc>
      </w:tr>
      <w:bookmarkEnd w:id="212"/>
      <w:bookmarkEnd w:id="213"/>
      <w:bookmarkEnd w:id="214"/>
    </w:tbl>
    <w:p>
      <w:pPr>
        <w:pStyle w:val="34"/>
        <w:spacing w:beforeLines="0"/>
        <w:rPr>
          <w:rFonts w:hint="default" w:ascii="Times New Roman" w:hAnsi="Times New Roman" w:cs="Times New Roman"/>
        </w:rPr>
      </w:pPr>
      <w:bookmarkStart w:id="215" w:name="_Toc497315570"/>
      <w:bookmarkStart w:id="216" w:name="_Toc498095403"/>
      <w:bookmarkStart w:id="217" w:name="_Toc522349447"/>
      <w:bookmarkStart w:id="218" w:name="_Toc2867148"/>
      <w:bookmarkStart w:id="219" w:name="_Toc523410805"/>
      <w:r>
        <w:rPr>
          <w:rFonts w:hint="default" w:ascii="Times New Roman" w:hAnsi="Times New Roman" w:cs="Times New Roman"/>
        </w:rPr>
        <w:t>9.5 废气监测分析过程中的质量保证和质量控制</w:t>
      </w:r>
      <w:bookmarkEnd w:id="215"/>
      <w:bookmarkEnd w:id="216"/>
      <w:bookmarkEnd w:id="217"/>
    </w:p>
    <w:p>
      <w:pPr>
        <w:adjustRightInd w:val="0"/>
        <w:snapToGri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r>
        <w:rPr>
          <w:rFonts w:hint="default" w:ascii="Times New Roman" w:hAnsi="Times New Roman" w:cs="Times New Roman"/>
          <w:sz w:val="28"/>
          <w:szCs w:val="28"/>
        </w:rPr>
        <w:t>气样的采集、运输、保存、实验室分析和数据计算的全过程均按照</w:t>
      </w:r>
      <w:r>
        <w:rPr>
          <w:rFonts w:hint="default" w:ascii="Times New Roman" w:hAnsi="Times New Roman" w:cs="Times New Roman"/>
          <w:color w:val="000000"/>
          <w:sz w:val="28"/>
          <w:szCs w:val="28"/>
        </w:rPr>
        <w:t>《浙江省环境监测质量保证技术规定》(第三版 试行) (浙江省环境监测中心2019年)</w:t>
      </w:r>
      <w:r>
        <w:rPr>
          <w:rFonts w:hint="default" w:ascii="Times New Roman" w:hAnsi="Times New Roman" w:cs="Times New Roman"/>
          <w:sz w:val="28"/>
          <w:szCs w:val="28"/>
        </w:rPr>
        <w:t>的要求进行。</w:t>
      </w:r>
    </w:p>
    <w:p>
      <w:pPr>
        <w:adjustRightInd w:val="0"/>
        <w:snapToGri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(2)尽量避免被测排放物中共存污染物分析的交叉干扰。</w:t>
      </w:r>
    </w:p>
    <w:p>
      <w:pPr>
        <w:adjustRightInd w:val="0"/>
        <w:snapToGrid w:val="0"/>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(3)被测排放物的浓度在仪器测量的有效范围(即30%~70%之间)</w:t>
      </w:r>
    </w:p>
    <w:p>
      <w:pPr>
        <w:adjustRightInd w:val="0"/>
        <w:snapToGrid w:val="0"/>
        <w:spacing w:line="360" w:lineRule="auto"/>
        <w:ind w:firstLine="560" w:firstLineChars="200"/>
        <w:rPr>
          <w:rFonts w:hint="default" w:ascii="Times New Roman" w:hAnsi="Times New Roman" w:cs="Times New Roman"/>
          <w:color w:val="000000"/>
          <w:sz w:val="30"/>
          <w:szCs w:val="30"/>
        </w:rPr>
      </w:pPr>
      <w:r>
        <w:rPr>
          <w:rFonts w:hint="default" w:ascii="Times New Roman" w:hAnsi="Times New Roman" w:cs="Times New Roman"/>
          <w:color w:val="000000"/>
          <w:sz w:val="28"/>
          <w:szCs w:val="28"/>
        </w:rPr>
        <w:t>(4)采样器在进入现场前应对采样器流量计、流速计等进行校核。烟气监测(分析)仪器在测试前按监测因子分别用标准气体和流量计(标定)，在测试时应保证采样流量的准确</w:t>
      </w:r>
      <w:r>
        <w:rPr>
          <w:rFonts w:hint="default" w:ascii="Times New Roman" w:hAnsi="Times New Roman" w:cs="Times New Roman"/>
          <w:sz w:val="28"/>
          <w:szCs w:val="28"/>
        </w:rPr>
        <w:t>。</w:t>
      </w:r>
    </w:p>
    <w:p>
      <w:pPr>
        <w:pStyle w:val="34"/>
        <w:spacing w:beforeLines="0"/>
        <w:rPr>
          <w:rFonts w:hint="default" w:ascii="Times New Roman" w:hAnsi="Times New Roman" w:cs="Times New Roman"/>
        </w:rPr>
      </w:pPr>
      <w:r>
        <w:rPr>
          <w:rFonts w:hint="default" w:ascii="Times New Roman" w:hAnsi="Times New Roman" w:cs="Times New Roman"/>
        </w:rPr>
        <w:t>9.6 噪声监测分析过程中的质量保证和质量控制</w:t>
      </w:r>
      <w:bookmarkEnd w:id="218"/>
      <w:bookmarkEnd w:id="219"/>
    </w:p>
    <w:p>
      <w:pPr>
        <w:adjustRightInd w:val="0"/>
        <w:snapToGrid w:val="0"/>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声级计在测试前后用标准发声源进行校准，测量前后仪器的灵敏度相差不大于0.5dB，若大于0.5 dB测试数据无效。本次验收噪声测试校准记录见表9-5：</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eastAsia="仿宋_GB2312" w:cs="Times New Roman"/>
          <w:b/>
          <w:color w:val="000000"/>
          <w:szCs w:val="21"/>
        </w:rPr>
      </w:pPr>
      <w:r>
        <w:rPr>
          <w:rFonts w:hint="default" w:ascii="Times New Roman" w:hAnsi="Times New Roman" w:eastAsia="楷体" w:cs="Times New Roman"/>
        </w:rPr>
        <w:t>表9-5 噪声测试校准记录表</w:t>
      </w:r>
    </w:p>
    <w:tbl>
      <w:tblPr>
        <w:tblStyle w:val="37"/>
        <w:tblW w:w="8584" w:type="dxa"/>
        <w:jc w:val="center"/>
        <w:tblLayout w:type="fixed"/>
        <w:tblCellMar>
          <w:top w:w="0" w:type="dxa"/>
          <w:left w:w="0" w:type="dxa"/>
          <w:bottom w:w="0" w:type="dxa"/>
          <w:right w:w="0" w:type="dxa"/>
        </w:tblCellMar>
      </w:tblPr>
      <w:tblGrid>
        <w:gridCol w:w="1995"/>
        <w:gridCol w:w="1627"/>
        <w:gridCol w:w="1681"/>
        <w:gridCol w:w="1573"/>
        <w:gridCol w:w="1708"/>
      </w:tblGrid>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监测日期</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测前（dB）</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测后</w:t>
            </w:r>
            <w:r>
              <w:rPr>
                <w:rFonts w:hint="default" w:ascii="Times New Roman" w:hAnsi="Times New Roman" w:cs="Times New Roman"/>
                <w:color w:val="000000"/>
                <w:szCs w:val="21"/>
              </w:rPr>
              <w:t>（dB）</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差值</w:t>
            </w:r>
            <w:r>
              <w:rPr>
                <w:rFonts w:hint="default" w:ascii="Times New Roman" w:hAnsi="Times New Roman" w:cs="Times New Roman"/>
                <w:color w:val="000000"/>
                <w:szCs w:val="21"/>
              </w:rPr>
              <w:t>（dB）</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是否符合要求</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2020年</w:t>
            </w:r>
            <w:r>
              <w:rPr>
                <w:rFonts w:hint="eastAsia" w:cs="Times New Roman"/>
                <w:kern w:val="0"/>
                <w:szCs w:val="21"/>
                <w:lang w:eastAsia="zh-CN"/>
              </w:rPr>
              <w:t>11月11日</w:t>
            </w:r>
          </w:p>
        </w:tc>
        <w:tc>
          <w:tcPr>
            <w:tcW w:w="162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符合</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2020年</w:t>
            </w:r>
            <w:r>
              <w:rPr>
                <w:rFonts w:hint="eastAsia" w:cs="Times New Roman"/>
                <w:kern w:val="0"/>
                <w:szCs w:val="21"/>
                <w:lang w:eastAsia="zh-CN"/>
              </w:rPr>
              <w:t>11月12日</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681"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93.8</w:t>
            </w:r>
          </w:p>
        </w:tc>
        <w:tc>
          <w:tcPr>
            <w:tcW w:w="157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w:t>
            </w:r>
          </w:p>
        </w:tc>
        <w:tc>
          <w:tcPr>
            <w:tcW w:w="17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符合</w:t>
            </w:r>
          </w:p>
        </w:tc>
      </w:tr>
    </w:tbl>
    <w:p>
      <w:pPr>
        <w:spacing w:line="360" w:lineRule="auto"/>
        <w:jc w:val="left"/>
        <w:rPr>
          <w:rFonts w:hint="default" w:ascii="Times New Roman" w:hAnsi="Times New Roman" w:eastAsia="仿宋_GB2312" w:cs="Times New Roman"/>
          <w:b/>
          <w:color w:val="000000"/>
          <w:szCs w:val="21"/>
        </w:rPr>
      </w:pPr>
    </w:p>
    <w:p>
      <w:pPr>
        <w:pStyle w:val="97"/>
        <w:spacing w:beforeLines="0" w:afterLines="0"/>
        <w:rPr>
          <w:rFonts w:hint="default" w:ascii="Times New Roman" w:hAnsi="Times New Roman" w:cs="Times New Roman"/>
        </w:rPr>
      </w:pPr>
      <w:bookmarkStart w:id="220" w:name="_Toc523410806"/>
      <w:bookmarkStart w:id="221" w:name="_Toc2867149"/>
      <w:r>
        <w:rPr>
          <w:rFonts w:hint="default" w:ascii="Times New Roman" w:hAnsi="Times New Roman" w:cs="Times New Roman"/>
        </w:rPr>
        <w:br w:type="page"/>
      </w:r>
      <w:r>
        <w:rPr>
          <w:rFonts w:hint="default" w:ascii="Times New Roman" w:hAnsi="Times New Roman" w:cs="Times New Roman"/>
        </w:rPr>
        <w:t>10 验收监测结果与分析评价</w:t>
      </w:r>
      <w:bookmarkEnd w:id="220"/>
      <w:bookmarkEnd w:id="221"/>
    </w:p>
    <w:p>
      <w:pPr>
        <w:pStyle w:val="34"/>
        <w:spacing w:beforeLines="0"/>
        <w:rPr>
          <w:rFonts w:hint="default" w:ascii="Times New Roman" w:hAnsi="Times New Roman" w:cs="Times New Roman"/>
        </w:rPr>
      </w:pPr>
      <w:bookmarkStart w:id="222" w:name="_Toc523410807"/>
      <w:bookmarkStart w:id="223" w:name="_Toc2867150"/>
      <w:r>
        <w:rPr>
          <w:rFonts w:hint="default" w:ascii="Times New Roman" w:hAnsi="Times New Roman" w:cs="Times New Roman"/>
        </w:rPr>
        <w:t>10.1 生产工况</w:t>
      </w:r>
      <w:bookmarkEnd w:id="222"/>
      <w:bookmarkEnd w:id="223"/>
    </w:p>
    <w:p>
      <w:pPr>
        <w:adjustRightInd w:val="0"/>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2020年</w:t>
      </w:r>
      <w:r>
        <w:rPr>
          <w:rFonts w:hint="default" w:ascii="Times New Roman" w:hAnsi="Times New Roman" w:cs="Times New Roman"/>
          <w:sz w:val="28"/>
          <w:szCs w:val="28"/>
          <w:lang w:eastAsia="zh-CN"/>
        </w:rPr>
        <w:t>11月11日、12日</w:t>
      </w:r>
      <w:r>
        <w:rPr>
          <w:rFonts w:hint="default" w:ascii="Times New Roman" w:hAnsi="Times New Roman" w:cs="Times New Roman"/>
          <w:sz w:val="28"/>
          <w:szCs w:val="28"/>
        </w:rPr>
        <w:t>验收监测期间，</w:t>
      </w:r>
      <w:r>
        <w:rPr>
          <w:rFonts w:hint="default" w:ascii="Times New Roman" w:hAnsi="Times New Roman" w:cs="Times New Roman"/>
          <w:color w:val="000000"/>
          <w:sz w:val="28"/>
          <w:szCs w:val="28"/>
          <w:lang w:eastAsia="zh-CN"/>
        </w:rPr>
        <w:t>平阳县万鹏表面处理有限公司</w:t>
      </w:r>
      <w:r>
        <w:rPr>
          <w:rFonts w:hint="default" w:ascii="Times New Roman" w:hAnsi="Times New Roman" w:cs="Times New Roman"/>
          <w:color w:val="000000"/>
          <w:sz w:val="28"/>
          <w:szCs w:val="28"/>
        </w:rPr>
        <w:t>新增项目的生产负荷分别为</w:t>
      </w:r>
      <w:r>
        <w:rPr>
          <w:rFonts w:hint="eastAsia" w:cs="Times New Roman"/>
          <w:color w:val="000000"/>
          <w:sz w:val="28"/>
          <w:szCs w:val="28"/>
          <w:lang w:eastAsia="zh-CN"/>
        </w:rPr>
        <w:t>81.8%</w:t>
      </w:r>
      <w:r>
        <w:rPr>
          <w:rFonts w:hint="default" w:ascii="Times New Roman" w:hAnsi="Times New Roman" w:cs="Times New Roman"/>
          <w:color w:val="000000"/>
          <w:sz w:val="28"/>
          <w:szCs w:val="28"/>
        </w:rPr>
        <w:t>、</w:t>
      </w:r>
      <w:r>
        <w:rPr>
          <w:rFonts w:hint="eastAsia" w:cs="Times New Roman"/>
          <w:color w:val="000000"/>
          <w:sz w:val="28"/>
          <w:szCs w:val="28"/>
          <w:lang w:eastAsia="zh-CN"/>
        </w:rPr>
        <w:t>79.0%</w:t>
      </w:r>
      <w:r>
        <w:rPr>
          <w:rFonts w:hint="default" w:ascii="Times New Roman" w:hAnsi="Times New Roman" w:cs="Times New Roman"/>
          <w:color w:val="000000"/>
          <w:sz w:val="28"/>
          <w:szCs w:val="28"/>
        </w:rPr>
        <w:t>。监</w:t>
      </w:r>
      <w:r>
        <w:rPr>
          <w:rFonts w:hint="default" w:ascii="Times New Roman" w:hAnsi="Times New Roman" w:cs="Times New Roman"/>
          <w:sz w:val="28"/>
          <w:szCs w:val="28"/>
        </w:rPr>
        <w:t>测期间工况详见表10-1。</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表10-1 监测期间产量核实表</w:t>
      </w:r>
    </w:p>
    <w:tbl>
      <w:tblPr>
        <w:tblStyle w:val="3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523"/>
        <w:gridCol w:w="1134"/>
        <w:gridCol w:w="1118"/>
        <w:gridCol w:w="1070"/>
        <w:gridCol w:w="111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26" w:type="dxa"/>
            <w:gridSpan w:val="3"/>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监测期间主要产品产量</w:t>
            </w:r>
          </w:p>
        </w:tc>
        <w:tc>
          <w:tcPr>
            <w:tcW w:w="1118" w:type="dxa"/>
            <w:vMerge w:val="restart"/>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生产</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负荷</w:t>
            </w:r>
          </w:p>
        </w:tc>
        <w:tc>
          <w:tcPr>
            <w:tcW w:w="1070" w:type="dxa"/>
            <w:vMerge w:val="restart"/>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设计生产能力</w:t>
            </w:r>
          </w:p>
        </w:tc>
        <w:tc>
          <w:tcPr>
            <w:tcW w:w="1110" w:type="dxa"/>
            <w:vMerge w:val="restart"/>
            <w:vAlign w:val="center"/>
          </w:tcPr>
          <w:p>
            <w:pPr>
              <w:jc w:val="center"/>
              <w:rPr>
                <w:rFonts w:hint="eastAsia" w:ascii="Times New Roman" w:hAnsi="Times New Roman" w:cs="Times New Roman"/>
                <w:color w:val="000000"/>
                <w:szCs w:val="21"/>
                <w:lang w:val="en-US" w:eastAsia="zh-CN"/>
              </w:rPr>
            </w:pPr>
            <w:r>
              <w:rPr>
                <w:rFonts w:hint="eastAsia" w:ascii="Times New Roman" w:hAnsi="Times New Roman" w:cs="Times New Roman"/>
                <w:color w:val="000000"/>
                <w:szCs w:val="21"/>
                <w:lang w:val="en-US" w:eastAsia="zh-CN"/>
              </w:rPr>
              <w:t>实际生产能力</w:t>
            </w:r>
          </w:p>
        </w:tc>
        <w:tc>
          <w:tcPr>
            <w:tcW w:w="789" w:type="dxa"/>
            <w:vMerge w:val="restart"/>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年工作日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监测日期</w:t>
            </w:r>
          </w:p>
        </w:tc>
        <w:tc>
          <w:tcPr>
            <w:tcW w:w="1523"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主要产品</w:t>
            </w:r>
          </w:p>
        </w:tc>
        <w:tc>
          <w:tcPr>
            <w:tcW w:w="1134"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产量</w:t>
            </w:r>
          </w:p>
        </w:tc>
        <w:tc>
          <w:tcPr>
            <w:tcW w:w="1118" w:type="dxa"/>
            <w:vMerge w:val="continue"/>
            <w:vAlign w:val="center"/>
          </w:tcPr>
          <w:p>
            <w:pPr>
              <w:jc w:val="center"/>
              <w:rPr>
                <w:rFonts w:hint="default" w:ascii="Times New Roman" w:hAnsi="Times New Roman" w:cs="Times New Roman"/>
                <w:color w:val="000000"/>
                <w:szCs w:val="21"/>
              </w:rPr>
            </w:pPr>
          </w:p>
        </w:tc>
        <w:tc>
          <w:tcPr>
            <w:tcW w:w="1070" w:type="dxa"/>
            <w:vMerge w:val="continue"/>
            <w:vAlign w:val="center"/>
          </w:tcPr>
          <w:p>
            <w:pPr>
              <w:jc w:val="center"/>
              <w:rPr>
                <w:rFonts w:hint="default" w:ascii="Times New Roman" w:hAnsi="Times New Roman" w:cs="Times New Roman"/>
                <w:color w:val="000000"/>
                <w:szCs w:val="21"/>
              </w:rPr>
            </w:pPr>
          </w:p>
        </w:tc>
        <w:tc>
          <w:tcPr>
            <w:tcW w:w="1110" w:type="dxa"/>
            <w:vMerge w:val="continue"/>
            <w:vAlign w:val="center"/>
          </w:tcPr>
          <w:p>
            <w:pPr>
              <w:jc w:val="center"/>
              <w:rPr>
                <w:rFonts w:hint="default" w:ascii="Times New Roman" w:hAnsi="Times New Roman" w:cs="Times New Roman"/>
                <w:color w:val="000000"/>
                <w:szCs w:val="21"/>
              </w:rPr>
            </w:pPr>
          </w:p>
        </w:tc>
        <w:tc>
          <w:tcPr>
            <w:tcW w:w="789" w:type="dxa"/>
            <w:vMerge w:val="continue"/>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11月11日</w:t>
            </w:r>
          </w:p>
        </w:tc>
        <w:tc>
          <w:tcPr>
            <w:tcW w:w="1523" w:type="dxa"/>
            <w:vMerge w:val="restart"/>
            <w:vAlign w:val="center"/>
          </w:tcPr>
          <w:p>
            <w:pPr>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电镀五金件</w:t>
            </w:r>
          </w:p>
        </w:tc>
        <w:tc>
          <w:tcPr>
            <w:tcW w:w="1134" w:type="dxa"/>
            <w:vAlign w:val="center"/>
          </w:tcPr>
          <w:p>
            <w:pPr>
              <w:jc w:val="center"/>
              <w:rPr>
                <w:rFonts w:hint="default" w:ascii="Times New Roman" w:hAnsi="Times New Roman" w:cs="Times New Roman"/>
                <w:color w:val="000000"/>
                <w:szCs w:val="21"/>
              </w:rPr>
            </w:pPr>
            <w:r>
              <w:rPr>
                <w:rFonts w:hint="eastAsia" w:cs="Times New Roman"/>
                <w:color w:val="000000"/>
                <w:szCs w:val="21"/>
                <w:lang w:val="en-US" w:eastAsia="zh-CN"/>
              </w:rPr>
              <w:t>12.1</w:t>
            </w:r>
            <w:r>
              <w:rPr>
                <w:rFonts w:hint="default" w:ascii="Times New Roman" w:hAnsi="Times New Roman" w:cs="Times New Roman"/>
                <w:color w:val="000000"/>
                <w:szCs w:val="21"/>
              </w:rPr>
              <w:t>吨/d</w:t>
            </w:r>
          </w:p>
        </w:tc>
        <w:tc>
          <w:tcPr>
            <w:tcW w:w="1118" w:type="dxa"/>
            <w:vAlign w:val="center"/>
          </w:tcPr>
          <w:p>
            <w:pPr>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81.8%</w:t>
            </w:r>
          </w:p>
        </w:tc>
        <w:tc>
          <w:tcPr>
            <w:tcW w:w="1070" w:type="dxa"/>
            <w:vMerge w:val="restart"/>
            <w:vAlign w:val="center"/>
          </w:tcPr>
          <w:p>
            <w:pPr>
              <w:jc w:val="center"/>
              <w:rPr>
                <w:rFonts w:hint="default" w:ascii="Times New Roman" w:hAnsi="Times New Roman" w:cs="Times New Roman"/>
                <w:color w:val="000000"/>
                <w:szCs w:val="21"/>
                <w:lang w:val="en-US"/>
              </w:rPr>
            </w:pPr>
            <w:r>
              <w:rPr>
                <w:rFonts w:hint="eastAsia" w:cs="Times New Roman"/>
                <w:color w:val="000000"/>
                <w:szCs w:val="21"/>
                <w:lang w:val="en-US" w:eastAsia="zh-CN"/>
              </w:rPr>
              <w:t>6000吨/a</w:t>
            </w:r>
          </w:p>
          <w:p>
            <w:pPr>
              <w:jc w:val="center"/>
              <w:rPr>
                <w:rFonts w:hint="default" w:ascii="Times New Roman" w:hAnsi="Times New Roman" w:cs="Times New Roman"/>
                <w:color w:val="000000"/>
                <w:szCs w:val="21"/>
              </w:rPr>
            </w:pPr>
            <w:r>
              <w:rPr>
                <w:rFonts w:hint="eastAsia" w:cs="Times New Roman"/>
                <w:color w:val="000000"/>
                <w:szCs w:val="21"/>
                <w:lang w:val="en-US" w:eastAsia="zh-CN"/>
              </w:rPr>
              <w:t>18.5</w:t>
            </w:r>
            <w:r>
              <w:rPr>
                <w:rFonts w:hint="default" w:ascii="Times New Roman" w:hAnsi="Times New Roman" w:cs="Times New Roman"/>
                <w:color w:val="000000"/>
                <w:szCs w:val="21"/>
              </w:rPr>
              <w:t>吨/d</w:t>
            </w:r>
          </w:p>
        </w:tc>
        <w:tc>
          <w:tcPr>
            <w:tcW w:w="1110" w:type="dxa"/>
            <w:vMerge w:val="restart"/>
            <w:vAlign w:val="center"/>
          </w:tcPr>
          <w:p>
            <w:pPr>
              <w:jc w:val="center"/>
              <w:rPr>
                <w:rFonts w:hint="default" w:ascii="Times New Roman" w:hAnsi="Times New Roman" w:cs="Times New Roman"/>
                <w:color w:val="000000"/>
                <w:szCs w:val="21"/>
                <w:lang w:val="en-US"/>
              </w:rPr>
            </w:pPr>
            <w:r>
              <w:rPr>
                <w:rFonts w:hint="eastAsia" w:cs="Times New Roman"/>
                <w:color w:val="000000"/>
                <w:szCs w:val="21"/>
                <w:lang w:val="en-US" w:eastAsia="zh-CN"/>
              </w:rPr>
              <w:t>4800吨/a</w:t>
            </w:r>
          </w:p>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14.8</w:t>
            </w:r>
            <w:r>
              <w:rPr>
                <w:rFonts w:hint="default" w:ascii="Times New Roman" w:hAnsi="Times New Roman" w:cs="Times New Roman"/>
                <w:color w:val="000000"/>
                <w:szCs w:val="21"/>
              </w:rPr>
              <w:t>吨/d</w:t>
            </w:r>
          </w:p>
        </w:tc>
        <w:tc>
          <w:tcPr>
            <w:tcW w:w="789" w:type="dxa"/>
            <w:vMerge w:val="restart"/>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r>
              <w:rPr>
                <w:rFonts w:hint="eastAsia" w:cs="Times New Roman"/>
                <w:color w:val="000000"/>
                <w:szCs w:val="21"/>
                <w:lang w:val="en-US" w:eastAsia="zh-CN"/>
              </w:rPr>
              <w:t>24</w:t>
            </w:r>
            <w:r>
              <w:rPr>
                <w:rFonts w:hint="default" w:ascii="Times New Roman" w:hAnsi="Times New Roman" w:cs="Times New Roman"/>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69" w:type="dxa"/>
            <w:vAlign w:val="center"/>
          </w:tcPr>
          <w:p>
            <w:pPr>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11月12日</w:t>
            </w:r>
          </w:p>
        </w:tc>
        <w:tc>
          <w:tcPr>
            <w:tcW w:w="1523" w:type="dxa"/>
            <w:vMerge w:val="continue"/>
            <w:vAlign w:val="center"/>
          </w:tcPr>
          <w:p>
            <w:pPr>
              <w:jc w:val="center"/>
              <w:rPr>
                <w:rFonts w:hint="default" w:ascii="Times New Roman" w:hAnsi="Times New Roman" w:cs="Times New Roman"/>
                <w:color w:val="000000"/>
                <w:szCs w:val="21"/>
              </w:rPr>
            </w:pPr>
          </w:p>
        </w:tc>
        <w:tc>
          <w:tcPr>
            <w:tcW w:w="1134" w:type="dxa"/>
            <w:vAlign w:val="center"/>
          </w:tcPr>
          <w:p>
            <w:pPr>
              <w:jc w:val="center"/>
              <w:rPr>
                <w:rFonts w:hint="default" w:ascii="Times New Roman" w:hAnsi="Times New Roman" w:cs="Times New Roman"/>
                <w:color w:val="000000"/>
                <w:szCs w:val="21"/>
              </w:rPr>
            </w:pPr>
            <w:r>
              <w:rPr>
                <w:rFonts w:hint="eastAsia" w:cs="Times New Roman"/>
                <w:color w:val="000000"/>
                <w:szCs w:val="21"/>
                <w:lang w:val="en-US" w:eastAsia="zh-CN"/>
              </w:rPr>
              <w:t>11.7</w:t>
            </w:r>
            <w:r>
              <w:rPr>
                <w:rFonts w:hint="default" w:ascii="Times New Roman" w:hAnsi="Times New Roman" w:cs="Times New Roman"/>
                <w:color w:val="000000"/>
                <w:szCs w:val="21"/>
              </w:rPr>
              <w:t>吨/d</w:t>
            </w:r>
          </w:p>
        </w:tc>
        <w:tc>
          <w:tcPr>
            <w:tcW w:w="1118" w:type="dxa"/>
            <w:vAlign w:val="center"/>
          </w:tcPr>
          <w:p>
            <w:pPr>
              <w:jc w:val="center"/>
              <w:rPr>
                <w:rFonts w:hint="eastAsia" w:ascii="Times New Roman" w:hAnsi="Times New Roman" w:eastAsia="宋体" w:cs="Times New Roman"/>
                <w:color w:val="000000"/>
                <w:szCs w:val="21"/>
                <w:lang w:eastAsia="zh-CN"/>
              </w:rPr>
            </w:pPr>
            <w:r>
              <w:rPr>
                <w:rFonts w:hint="eastAsia" w:cs="Times New Roman"/>
                <w:color w:val="000000"/>
                <w:szCs w:val="21"/>
                <w:lang w:eastAsia="zh-CN"/>
              </w:rPr>
              <w:t>79.0%</w:t>
            </w:r>
          </w:p>
        </w:tc>
        <w:tc>
          <w:tcPr>
            <w:tcW w:w="1070" w:type="dxa"/>
            <w:vMerge w:val="continue"/>
            <w:vAlign w:val="center"/>
          </w:tcPr>
          <w:p>
            <w:pPr>
              <w:jc w:val="center"/>
              <w:rPr>
                <w:rFonts w:hint="default" w:ascii="Times New Roman" w:hAnsi="Times New Roman" w:cs="Times New Roman"/>
                <w:color w:val="000000"/>
                <w:szCs w:val="21"/>
              </w:rPr>
            </w:pPr>
          </w:p>
        </w:tc>
        <w:tc>
          <w:tcPr>
            <w:tcW w:w="1110" w:type="dxa"/>
            <w:vMerge w:val="continue"/>
            <w:vAlign w:val="center"/>
          </w:tcPr>
          <w:p>
            <w:pPr>
              <w:jc w:val="center"/>
              <w:rPr>
                <w:rFonts w:hint="default" w:ascii="Times New Roman" w:hAnsi="Times New Roman" w:cs="Times New Roman"/>
                <w:szCs w:val="21"/>
              </w:rPr>
            </w:pPr>
          </w:p>
        </w:tc>
        <w:tc>
          <w:tcPr>
            <w:tcW w:w="789" w:type="dxa"/>
            <w:vMerge w:val="continue"/>
            <w:vAlign w:val="center"/>
          </w:tcPr>
          <w:p>
            <w:pPr>
              <w:jc w:val="center"/>
              <w:rPr>
                <w:rFonts w:hint="default" w:ascii="Times New Roman" w:hAnsi="Times New Roman" w:cs="Times New Roman"/>
                <w:szCs w:val="21"/>
              </w:rPr>
            </w:pPr>
          </w:p>
        </w:tc>
      </w:tr>
    </w:tbl>
    <w:p>
      <w:pPr>
        <w:pStyle w:val="34"/>
        <w:keepNext w:val="0"/>
        <w:keepLines w:val="0"/>
        <w:pageBreakBefore w:val="0"/>
        <w:widowControl w:val="0"/>
        <w:kinsoku/>
        <w:wordWrap/>
        <w:overflowPunct/>
        <w:topLinePunct w:val="0"/>
        <w:autoSpaceDE/>
        <w:autoSpaceDN/>
        <w:bidi w:val="0"/>
        <w:adjustRightInd w:val="0"/>
        <w:snapToGrid w:val="0"/>
        <w:spacing w:before="145" w:beforeLines="50"/>
        <w:textAlignment w:val="auto"/>
        <w:rPr>
          <w:rFonts w:hint="default" w:ascii="Times New Roman" w:hAnsi="Times New Roman" w:cs="Times New Roman"/>
        </w:rPr>
      </w:pPr>
      <w:bookmarkStart w:id="224" w:name="_Toc433958953"/>
      <w:bookmarkStart w:id="225" w:name="_Toc523410808"/>
      <w:bookmarkStart w:id="226" w:name="_Toc496198356"/>
      <w:bookmarkStart w:id="227" w:name="_Toc2867151"/>
      <w:bookmarkStart w:id="228" w:name="_Toc496198275"/>
      <w:bookmarkStart w:id="229" w:name="_Toc496198432"/>
      <w:r>
        <w:rPr>
          <w:rFonts w:hint="default" w:ascii="Times New Roman" w:hAnsi="Times New Roman" w:cs="Times New Roman"/>
        </w:rPr>
        <w:t>10.2</w:t>
      </w:r>
      <w:bookmarkEnd w:id="224"/>
      <w:r>
        <w:rPr>
          <w:rFonts w:hint="default" w:ascii="Times New Roman" w:hAnsi="Times New Roman" w:cs="Times New Roman"/>
        </w:rPr>
        <w:t xml:space="preserve"> 环境保护设施调试效果</w:t>
      </w:r>
      <w:bookmarkEnd w:id="225"/>
      <w:bookmarkEnd w:id="226"/>
      <w:bookmarkEnd w:id="227"/>
      <w:bookmarkEnd w:id="228"/>
      <w:bookmarkEnd w:id="229"/>
    </w:p>
    <w:p>
      <w:pPr>
        <w:pStyle w:val="5"/>
        <w:rPr>
          <w:rFonts w:hint="default" w:ascii="Times New Roman" w:hAnsi="Times New Roman" w:cs="Times New Roman"/>
        </w:rPr>
      </w:pPr>
      <w:bookmarkStart w:id="230" w:name="_Toc496198276"/>
      <w:bookmarkStart w:id="231" w:name="_Toc496198357"/>
      <w:bookmarkStart w:id="232" w:name="_Toc496198433"/>
      <w:r>
        <w:rPr>
          <w:rFonts w:hint="default" w:ascii="Times New Roman" w:hAnsi="Times New Roman" w:cs="Times New Roman"/>
        </w:rPr>
        <w:t>10.2.1 污染物达标排放监测结果</w:t>
      </w:r>
      <w:bookmarkEnd w:id="230"/>
      <w:bookmarkEnd w:id="231"/>
      <w:bookmarkEnd w:id="232"/>
    </w:p>
    <w:p>
      <w:pPr>
        <w:tabs>
          <w:tab w:val="left" w:pos="180"/>
        </w:tabs>
        <w:spacing w:line="360" w:lineRule="auto"/>
        <w:ind w:firstLine="560" w:firstLineChars="200"/>
        <w:jc w:val="left"/>
        <w:rPr>
          <w:rFonts w:hint="default" w:ascii="Times New Roman" w:hAnsi="Times New Roman" w:cs="Times New Roman"/>
          <w:sz w:val="28"/>
          <w:szCs w:val="28"/>
        </w:rPr>
      </w:pPr>
      <w:bookmarkStart w:id="233" w:name="_Toc496198277"/>
      <w:bookmarkStart w:id="234" w:name="_Toc496198358"/>
      <w:bookmarkStart w:id="235" w:name="_Toc496198434"/>
      <w:r>
        <w:rPr>
          <w:rFonts w:hint="default" w:ascii="Times New Roman" w:hAnsi="Times New Roman" w:cs="Times New Roman"/>
          <w:sz w:val="28"/>
          <w:szCs w:val="28"/>
        </w:rPr>
        <w:t>10.2.1.1 废水</w:t>
      </w:r>
      <w:bookmarkEnd w:id="233"/>
      <w:bookmarkEnd w:id="234"/>
      <w:bookmarkEnd w:id="235"/>
      <w:r>
        <w:rPr>
          <w:rFonts w:hint="default" w:ascii="Times New Roman" w:hAnsi="Times New Roman" w:cs="Times New Roman"/>
          <w:sz w:val="28"/>
          <w:szCs w:val="28"/>
        </w:rPr>
        <w:t>监测结果</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验收监测期间，项目生活污水排放口监测结果表明，pH范围、化学需氧量、五日生化需氧量、悬浮物和动植物油类排放浓度均小于《污水综合排放标准》(GB8978-1996)三级标准限值；氨氮、总磷排放浓度</w:t>
      </w:r>
      <w:r>
        <w:rPr>
          <w:rFonts w:hint="eastAsia" w:cs="Times New Roman"/>
          <w:sz w:val="28"/>
          <w:szCs w:val="28"/>
          <w:lang w:eastAsia="zh-CN"/>
        </w:rPr>
        <w:t>低</w:t>
      </w:r>
      <w:r>
        <w:rPr>
          <w:rFonts w:hint="default" w:ascii="Times New Roman" w:hAnsi="Times New Roman" w:cs="Times New Roman"/>
          <w:sz w:val="28"/>
          <w:szCs w:val="28"/>
        </w:rPr>
        <w:t>于《工业企业废水氮、磷污染物间接排放限值》（DB33/887-2013）中的标准限值</w:t>
      </w:r>
      <w:r>
        <w:rPr>
          <w:rFonts w:hint="eastAsia" w:ascii="Times New Roman" w:hAnsi="Times New Roman" w:cs="Times New Roman"/>
          <w:sz w:val="28"/>
          <w:szCs w:val="28"/>
          <w:lang w:eastAsia="zh-CN"/>
        </w:rPr>
        <w:t>；总氮排放浓度</w:t>
      </w:r>
      <w:r>
        <w:rPr>
          <w:rFonts w:hint="eastAsia" w:cs="Times New Roman"/>
          <w:sz w:val="28"/>
          <w:szCs w:val="28"/>
          <w:lang w:eastAsia="zh-CN"/>
        </w:rPr>
        <w:t>低</w:t>
      </w:r>
      <w:r>
        <w:rPr>
          <w:rFonts w:hint="eastAsia" w:ascii="Times New Roman" w:hAnsi="Times New Roman" w:cs="Times New Roman"/>
          <w:sz w:val="28"/>
          <w:szCs w:val="28"/>
          <w:lang w:eastAsia="zh-CN"/>
        </w:rPr>
        <w:t>于</w:t>
      </w:r>
      <w:r>
        <w:rPr>
          <w:rFonts w:hint="default" w:ascii="Times New Roman" w:hAnsi="Times New Roman" w:cs="Times New Roman"/>
          <w:sz w:val="28"/>
          <w:szCs w:val="28"/>
          <w:lang w:val="en-US" w:eastAsia="zh-CN"/>
        </w:rPr>
        <w:t>《污水排入城镇下水道水质标准》（GB/T 31962—2015）表1B级排放限值</w:t>
      </w:r>
      <w:r>
        <w:rPr>
          <w:rFonts w:hint="default" w:ascii="Times New Roman" w:hAnsi="Times New Roman" w:cs="Times New Roman"/>
          <w:sz w:val="28"/>
          <w:szCs w:val="28"/>
        </w:rPr>
        <w:t>。污水监测结果详见表10-2。</w:t>
      </w:r>
    </w:p>
    <w:p>
      <w:pPr>
        <w:spacing w:line="360" w:lineRule="auto"/>
        <w:ind w:firstLine="560" w:firstLineChars="200"/>
        <w:rPr>
          <w:rFonts w:hint="default" w:ascii="Times New Roman" w:hAnsi="Times New Roman" w:cs="Times New Roman"/>
          <w:color w:val="000000"/>
          <w:spacing w:val="-6"/>
          <w:sz w:val="28"/>
          <w:szCs w:val="28"/>
        </w:rPr>
      </w:pPr>
      <w:r>
        <w:rPr>
          <w:rFonts w:hint="default" w:ascii="Times New Roman" w:hAnsi="Times New Roman" w:cs="Times New Roman"/>
          <w:color w:val="000000"/>
          <w:sz w:val="28"/>
          <w:szCs w:val="28"/>
        </w:rPr>
        <w:t xml:space="preserve">10.2.1.2 </w:t>
      </w:r>
      <w:r>
        <w:rPr>
          <w:rFonts w:hint="default" w:ascii="Times New Roman" w:hAnsi="Times New Roman" w:cs="Times New Roman"/>
          <w:sz w:val="28"/>
          <w:szCs w:val="28"/>
        </w:rPr>
        <w:t>废气监测结果</w:t>
      </w:r>
    </w:p>
    <w:p>
      <w:pPr>
        <w:spacing w:line="360" w:lineRule="auto"/>
        <w:ind w:firstLine="536" w:firstLineChars="200"/>
        <w:rPr>
          <w:rFonts w:hint="default" w:ascii="Times New Roman" w:hAnsi="Times New Roman" w:cs="Times New Roman"/>
          <w:kern w:val="0"/>
          <w:sz w:val="28"/>
          <w:szCs w:val="28"/>
        </w:rPr>
      </w:pPr>
      <w:r>
        <w:rPr>
          <w:rFonts w:hint="default" w:ascii="Times New Roman" w:hAnsi="Times New Roman" w:cs="Times New Roman"/>
          <w:color w:val="000000"/>
          <w:spacing w:val="-6"/>
          <w:sz w:val="28"/>
          <w:szCs w:val="28"/>
        </w:rPr>
        <w:t>验收监测期间，</w:t>
      </w:r>
      <w:bookmarkStart w:id="236" w:name="OLE_LINK51"/>
      <w:r>
        <w:rPr>
          <w:rFonts w:hint="default" w:ascii="Times New Roman" w:hAnsi="Times New Roman" w:cs="Times New Roman"/>
          <w:color w:val="000000"/>
          <w:spacing w:val="-6"/>
          <w:sz w:val="28"/>
          <w:szCs w:val="28"/>
        </w:rPr>
        <w:t>整合提升项目</w:t>
      </w:r>
      <w:r>
        <w:rPr>
          <w:rFonts w:hint="eastAsia" w:cs="Times New Roman"/>
          <w:color w:val="000000"/>
          <w:spacing w:val="-6"/>
          <w:sz w:val="28"/>
          <w:szCs w:val="28"/>
          <w:lang w:eastAsia="zh-CN"/>
        </w:rPr>
        <w:t>中一楼自动的</w:t>
      </w:r>
      <w:r>
        <w:rPr>
          <w:rFonts w:hint="default" w:ascii="Times New Roman" w:hAnsi="Times New Roman" w:cs="Times New Roman"/>
          <w:color w:val="000000"/>
          <w:spacing w:val="-6"/>
          <w:sz w:val="28"/>
          <w:szCs w:val="28"/>
        </w:rPr>
        <w:t>喷漆</w:t>
      </w:r>
      <w:r>
        <w:rPr>
          <w:rFonts w:hint="eastAsia" w:cs="Times New Roman"/>
          <w:color w:val="000000"/>
          <w:spacing w:val="-6"/>
          <w:sz w:val="28"/>
          <w:szCs w:val="28"/>
          <w:lang w:eastAsia="zh-CN"/>
        </w:rPr>
        <w:t>、烘干工序废气</w:t>
      </w:r>
      <w:r>
        <w:rPr>
          <w:rFonts w:hint="default" w:ascii="Times New Roman" w:hAnsi="Times New Roman" w:cs="Times New Roman"/>
          <w:color w:val="000000"/>
          <w:spacing w:val="-6"/>
          <w:sz w:val="28"/>
          <w:szCs w:val="28"/>
        </w:rPr>
        <w:t>净化后监测结果中的</w:t>
      </w:r>
      <w:bookmarkEnd w:id="236"/>
      <w:r>
        <w:rPr>
          <w:rFonts w:hint="default" w:ascii="Times New Roman" w:hAnsi="Times New Roman" w:cs="Times New Roman"/>
          <w:sz w:val="28"/>
          <w:szCs w:val="28"/>
        </w:rPr>
        <w:t>VOCs、苯系物、乙酸酯类排放</w:t>
      </w:r>
      <w:r>
        <w:rPr>
          <w:rFonts w:hint="default" w:ascii="Times New Roman" w:hAnsi="Times New Roman" w:cs="Times New Roman"/>
          <w:color w:val="000000"/>
          <w:spacing w:val="-6"/>
          <w:sz w:val="28"/>
          <w:szCs w:val="28"/>
        </w:rPr>
        <w:t>浓度均小于《工业涂装工序大气污染物排放标准》（DB33/2146-2018）中表</w:t>
      </w:r>
      <w:r>
        <w:rPr>
          <w:rFonts w:hint="eastAsia" w:cs="Times New Roman"/>
          <w:color w:val="000000"/>
          <w:spacing w:val="-6"/>
          <w:sz w:val="28"/>
          <w:szCs w:val="28"/>
          <w:lang w:val="en-US" w:eastAsia="zh-CN"/>
        </w:rPr>
        <w:t>1</w:t>
      </w:r>
      <w:r>
        <w:rPr>
          <w:rFonts w:hint="default" w:ascii="Times New Roman" w:hAnsi="Times New Roman" w:cs="Times New Roman"/>
          <w:color w:val="000000"/>
          <w:spacing w:val="-6"/>
          <w:sz w:val="28"/>
          <w:szCs w:val="28"/>
        </w:rPr>
        <w:t>排放限值；</w:t>
      </w:r>
      <w:r>
        <w:rPr>
          <w:rFonts w:hint="eastAsia" w:cs="Times New Roman"/>
          <w:color w:val="000000"/>
          <w:spacing w:val="-6"/>
          <w:sz w:val="28"/>
          <w:szCs w:val="28"/>
          <w:lang w:eastAsia="zh-CN"/>
        </w:rPr>
        <w:t>改建项目前处理、镀铬、镀镍废气</w:t>
      </w:r>
      <w:r>
        <w:rPr>
          <w:rFonts w:hint="default" w:ascii="Times New Roman" w:hAnsi="Times New Roman" w:cs="Times New Roman"/>
          <w:color w:val="000000"/>
          <w:spacing w:val="-6"/>
          <w:sz w:val="28"/>
          <w:szCs w:val="28"/>
        </w:rPr>
        <w:t>净化后监测结果中氯化氢</w:t>
      </w:r>
      <w:r>
        <w:rPr>
          <w:rFonts w:hint="eastAsia" w:cs="Times New Roman"/>
          <w:color w:val="000000"/>
          <w:spacing w:val="-6"/>
          <w:sz w:val="28"/>
          <w:szCs w:val="28"/>
          <w:lang w:eastAsia="zh-CN"/>
        </w:rPr>
        <w:t>、硫酸雾、铬酸雾</w:t>
      </w:r>
      <w:r>
        <w:rPr>
          <w:rFonts w:hint="default" w:ascii="Times New Roman" w:hAnsi="Times New Roman" w:cs="Times New Roman"/>
          <w:color w:val="000000"/>
          <w:spacing w:val="-6"/>
          <w:sz w:val="28"/>
          <w:szCs w:val="28"/>
        </w:rPr>
        <w:t>排放浓度</w:t>
      </w:r>
      <w:r>
        <w:rPr>
          <w:rFonts w:hint="eastAsia" w:cs="Times New Roman"/>
          <w:color w:val="000000"/>
          <w:spacing w:val="-6"/>
          <w:sz w:val="28"/>
          <w:szCs w:val="28"/>
          <w:lang w:eastAsia="zh-CN"/>
        </w:rPr>
        <w:t>低</w:t>
      </w:r>
      <w:r>
        <w:rPr>
          <w:rFonts w:hint="default" w:ascii="Times New Roman" w:hAnsi="Times New Roman" w:cs="Times New Roman"/>
          <w:color w:val="000000"/>
          <w:spacing w:val="-6"/>
          <w:sz w:val="28"/>
          <w:szCs w:val="28"/>
        </w:rPr>
        <w:t>于《电镀污染物排放标准》(GB21900-2008)中表5的相关标准限值，监测结果及监测点位见表10-3，去除率见表10-5</w:t>
      </w:r>
      <w:r>
        <w:rPr>
          <w:rFonts w:hint="default" w:ascii="Times New Roman" w:hAnsi="Times New Roman" w:cs="Times New Roman"/>
          <w:kern w:val="0"/>
          <w:sz w:val="28"/>
          <w:szCs w:val="28"/>
        </w:rPr>
        <w:t>。</w:t>
      </w:r>
    </w:p>
    <w:p>
      <w:pPr>
        <w:spacing w:line="360" w:lineRule="auto"/>
        <w:ind w:firstLine="560" w:firstLineChars="200"/>
        <w:rPr>
          <w:rFonts w:hint="default" w:ascii="Times New Roman" w:hAnsi="Times New Roman" w:cs="Times New Roman"/>
          <w:kern w:val="0"/>
          <w:sz w:val="28"/>
          <w:szCs w:val="28"/>
        </w:rPr>
      </w:pPr>
    </w:p>
    <w:p>
      <w:pPr>
        <w:spacing w:line="360" w:lineRule="auto"/>
        <w:jc w:val="center"/>
        <w:rPr>
          <w:rFonts w:hint="default" w:ascii="Times New Roman" w:hAnsi="Times New Roman" w:cs="Times New Roman"/>
        </w:rPr>
      </w:pPr>
      <w:r>
        <w:rPr>
          <w:rFonts w:hint="default" w:ascii="Times New Roman" w:hAnsi="Times New Roman" w:eastAsia="楷体" w:cs="Times New Roman"/>
          <w:sz w:val="24"/>
          <w:szCs w:val="24"/>
        </w:rPr>
        <w:t>表10-2 废水监测结果统计表</w:t>
      </w:r>
    </w:p>
    <w:tbl>
      <w:tblPr>
        <w:tblStyle w:val="37"/>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46"/>
        <w:gridCol w:w="750"/>
        <w:gridCol w:w="943"/>
        <w:gridCol w:w="827"/>
        <w:gridCol w:w="827"/>
        <w:gridCol w:w="828"/>
        <w:gridCol w:w="828"/>
        <w:gridCol w:w="828"/>
        <w:gridCol w:w="942"/>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0" w:hRule="atLeast"/>
          <w:tblHeader/>
          <w:jc w:val="center"/>
        </w:trPr>
        <w:tc>
          <w:tcPr>
            <w:tcW w:w="1896" w:type="dxa"/>
            <w:gridSpan w:val="2"/>
            <w:tcBorders>
              <w:tl2br w:val="single" w:color="auto" w:sz="4" w:space="0"/>
            </w:tcBorders>
            <w:tcMar>
              <w:left w:w="28" w:type="dxa"/>
              <w:right w:w="28" w:type="dxa"/>
            </w:tcMar>
            <w:vAlign w:val="center"/>
          </w:tcPr>
          <w:p>
            <w:pPr>
              <w:adjustRightInd w:val="0"/>
              <w:snapToGrid w:val="0"/>
              <w:ind w:right="46"/>
              <w:jc w:val="right"/>
              <w:rPr>
                <w:rFonts w:hint="default" w:ascii="Times New Roman" w:hAnsi="Times New Roman" w:cs="Times New Roman"/>
                <w:color w:val="000000"/>
                <w:szCs w:val="21"/>
              </w:rPr>
            </w:pPr>
            <w:r>
              <w:rPr>
                <w:rFonts w:hint="default" w:ascii="Times New Roman" w:hAnsi="Times New Roman" w:cs="Times New Roman"/>
                <w:color w:val="000000"/>
                <w:szCs w:val="21"/>
              </w:rPr>
              <w:t>项目</w:t>
            </w:r>
          </w:p>
          <w:p>
            <w:pPr>
              <w:adjustRightInd w:val="0"/>
              <w:snapToGrid w:val="0"/>
              <w:ind w:firstLine="46" w:firstLineChars="23"/>
              <w:jc w:val="left"/>
              <w:rPr>
                <w:rFonts w:hint="default" w:ascii="Times New Roman" w:hAnsi="Times New Roman" w:cs="Times New Roman"/>
                <w:color w:val="000000"/>
                <w:spacing w:val="-4"/>
                <w:szCs w:val="21"/>
              </w:rPr>
            </w:pPr>
            <w:r>
              <w:rPr>
                <w:rFonts w:hint="default" w:ascii="Times New Roman" w:hAnsi="Times New Roman" w:cs="Times New Roman"/>
                <w:color w:val="000000"/>
                <w:spacing w:val="-4"/>
                <w:szCs w:val="21"/>
              </w:rPr>
              <w:t>抽样位置及时间</w:t>
            </w:r>
          </w:p>
        </w:tc>
        <w:tc>
          <w:tcPr>
            <w:tcW w:w="943" w:type="dxa"/>
            <w:tcMar>
              <w:left w:w="28" w:type="dxa"/>
              <w:right w:w="28"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pH</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w:t>
            </w:r>
            <w:r>
              <w:rPr>
                <w:rFonts w:hint="default" w:ascii="Times New Roman" w:hAnsi="Times New Roman" w:cs="Times New Roman"/>
                <w:color w:val="000000"/>
                <w:spacing w:val="-10"/>
                <w:sz w:val="18"/>
                <w:szCs w:val="18"/>
              </w:rPr>
              <w:t>无量纲</w:t>
            </w:r>
            <w:r>
              <w:rPr>
                <w:rFonts w:hint="default" w:ascii="Times New Roman" w:hAnsi="Times New Roman" w:cs="Times New Roman"/>
                <w:color w:val="000000"/>
                <w:szCs w:val="21"/>
              </w:rPr>
              <w:t>)</w:t>
            </w:r>
          </w:p>
        </w:tc>
        <w:tc>
          <w:tcPr>
            <w:tcW w:w="827"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NH</w:t>
            </w:r>
            <w:r>
              <w:rPr>
                <w:rFonts w:hint="default" w:ascii="Times New Roman" w:hAnsi="Times New Roman" w:cs="Times New Roman"/>
                <w:color w:val="000000"/>
                <w:szCs w:val="21"/>
                <w:vertAlign w:val="subscript"/>
              </w:rPr>
              <w:t>3</w:t>
            </w:r>
            <w:r>
              <w:rPr>
                <w:rFonts w:hint="default" w:ascii="Times New Roman" w:hAnsi="Times New Roman" w:cs="Times New Roman"/>
                <w:color w:val="000000"/>
                <w:szCs w:val="21"/>
              </w:rPr>
              <w:t>-N</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827"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TP</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828"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SS</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828"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COD</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828"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BOD</w:t>
            </w:r>
            <w:r>
              <w:rPr>
                <w:rFonts w:hint="default" w:ascii="Times New Roman" w:hAnsi="Times New Roman" w:cs="Times New Roman"/>
                <w:color w:val="000000"/>
                <w:szCs w:val="21"/>
                <w:vertAlign w:val="subscript"/>
              </w:rPr>
              <w:t>5</w:t>
            </w:r>
          </w:p>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(mg/L)</w:t>
            </w:r>
          </w:p>
        </w:tc>
        <w:tc>
          <w:tcPr>
            <w:tcW w:w="942"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动植物油类(mg/L)</w:t>
            </w:r>
          </w:p>
        </w:tc>
        <w:tc>
          <w:tcPr>
            <w:tcW w:w="714" w:type="dxa"/>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TN</w:t>
            </w:r>
          </w:p>
          <w:p>
            <w:pPr>
              <w:adjustRightInd w:val="0"/>
              <w:snapToGrid w:val="0"/>
              <w:jc w:val="center"/>
              <w:rPr>
                <w:rFonts w:hint="default" w:ascii="Times New Roman" w:hAnsi="Times New Roman" w:cs="Times New Roman"/>
                <w:color w:val="000000"/>
              </w:rPr>
            </w:pPr>
            <w:r>
              <w:rPr>
                <w:rFonts w:hint="default" w:ascii="Times New Roman" w:hAnsi="Times New Roman" w:cs="Times New Roman"/>
                <w:color w:val="00000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1146" w:type="dxa"/>
            <w:vMerge w:val="restart"/>
            <w:tcMar>
              <w:left w:w="28" w:type="dxa"/>
              <w:right w:w="28" w:type="dxa"/>
            </w:tcMar>
            <w:vAlign w:val="center"/>
          </w:tcPr>
          <w:p>
            <w:pPr>
              <w:jc w:val="center"/>
              <w:rPr>
                <w:rFonts w:hint="default" w:ascii="Times New Roman" w:hAnsi="Times New Roman" w:cs="Times New Roman"/>
              </w:rPr>
            </w:pPr>
            <w:bookmarkStart w:id="237" w:name="OLE_LINK19" w:colFirst="1" w:colLast="2"/>
            <w:r>
              <w:rPr>
                <w:rFonts w:hint="default" w:ascii="Times New Roman" w:hAnsi="Times New Roman" w:cs="Times New Roman"/>
              </w:rPr>
              <w:t>生活污水</w:t>
            </w:r>
          </w:p>
          <w:p>
            <w:pPr>
              <w:jc w:val="center"/>
              <w:rPr>
                <w:rFonts w:hint="default" w:ascii="Times New Roman" w:hAnsi="Times New Roman" w:cs="Times New Roman"/>
              </w:rPr>
            </w:pPr>
            <w:r>
              <w:rPr>
                <w:rFonts w:hint="default" w:ascii="Times New Roman" w:hAnsi="Times New Roman" w:cs="Times New Roman"/>
              </w:rPr>
              <w:t>排放口</w:t>
            </w:r>
          </w:p>
          <w:p>
            <w:pPr>
              <w:jc w:val="center"/>
              <w:rPr>
                <w:rFonts w:hint="default" w:ascii="Times New Roman" w:hAnsi="Times New Roman" w:eastAsia="宋体" w:cs="Times New Roman"/>
                <w:color w:val="000000"/>
                <w:spacing w:val="-10"/>
                <w:szCs w:val="21"/>
                <w:lang w:eastAsia="zh-CN"/>
              </w:rPr>
            </w:pPr>
            <w:r>
              <w:rPr>
                <w:rFonts w:hint="default" w:ascii="Times New Roman" w:hAnsi="Times New Roman" w:cs="Times New Roman"/>
                <w:lang w:eastAsia="zh-CN"/>
              </w:rPr>
              <w:t>11月11日</w:t>
            </w: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09:39</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7.36</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14.2</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0.66</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134</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402</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101</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0.18</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11:10</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7.43</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14.7</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0.83</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148</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415</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109</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0.20</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13:03</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7.45</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14.4</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0.78</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117</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382</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113</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0.22</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14:41</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7.39</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14.1</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0.80</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112</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380</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106</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0.28</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adjustRightInd w:val="0"/>
              <w:snapToGrid w:val="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平均值</w:t>
            </w:r>
          </w:p>
        </w:tc>
        <w:tc>
          <w:tcPr>
            <w:tcW w:w="943" w:type="dxa"/>
            <w:tcMar>
              <w:left w:w="28" w:type="dxa"/>
              <w:right w:w="28" w:type="dxa"/>
            </w:tcMar>
            <w:vAlign w:val="center"/>
          </w:tcPr>
          <w:p>
            <w:pPr>
              <w:widowControl/>
              <w:jc w:val="center"/>
              <w:textAlignment w:val="center"/>
              <w:rPr>
                <w:rFonts w:hint="default" w:ascii="Times New Roman" w:hAnsi="Times New Roman" w:eastAsia="宋体" w:cs="Times New Roman"/>
                <w:b/>
                <w:color w:val="000000"/>
                <w:kern w:val="0"/>
                <w:szCs w:val="21"/>
                <w:lang w:val="en-US" w:eastAsia="zh-CN"/>
              </w:rPr>
            </w:pPr>
            <w:r>
              <w:rPr>
                <w:rFonts w:hint="eastAsia" w:ascii="Times New Roman" w:hAnsi="Times New Roman" w:cs="Times New Roman"/>
                <w:b/>
                <w:color w:val="000000"/>
                <w:kern w:val="0"/>
                <w:szCs w:val="21"/>
                <w:lang w:val="en-US" w:eastAsia="zh-CN"/>
              </w:rPr>
              <w:t>7.36-7.45</w:t>
            </w:r>
          </w:p>
        </w:tc>
        <w:tc>
          <w:tcPr>
            <w:tcW w:w="827"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eastAsia" w:cs="Times New Roman"/>
                <w:b/>
                <w:color w:val="000000"/>
                <w:kern w:val="0"/>
                <w:szCs w:val="21"/>
                <w:lang w:val="en-US" w:eastAsia="zh-CN"/>
              </w:rPr>
              <w:t>14.4</w:t>
            </w:r>
          </w:p>
        </w:tc>
        <w:tc>
          <w:tcPr>
            <w:tcW w:w="827"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0.7</w:t>
            </w:r>
            <w:r>
              <w:rPr>
                <w:rFonts w:hint="eastAsia" w:cs="Times New Roman"/>
                <w:b/>
                <w:color w:val="000000"/>
                <w:kern w:val="0"/>
                <w:szCs w:val="21"/>
                <w:lang w:val="en-US" w:eastAsia="zh-CN"/>
              </w:rPr>
              <w:t>7</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12</w:t>
            </w:r>
            <w:r>
              <w:rPr>
                <w:rFonts w:hint="eastAsia" w:cs="Times New Roman"/>
                <w:b/>
                <w:color w:val="000000"/>
                <w:kern w:val="0"/>
                <w:szCs w:val="21"/>
                <w:lang w:val="en-US" w:eastAsia="zh-CN"/>
              </w:rPr>
              <w:t>8</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39</w:t>
            </w:r>
            <w:r>
              <w:rPr>
                <w:rFonts w:hint="eastAsia" w:cs="Times New Roman"/>
                <w:b/>
                <w:color w:val="000000"/>
                <w:kern w:val="0"/>
                <w:szCs w:val="21"/>
                <w:lang w:val="en-US" w:eastAsia="zh-CN"/>
              </w:rPr>
              <w:t>5</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107</w:t>
            </w:r>
          </w:p>
        </w:tc>
        <w:tc>
          <w:tcPr>
            <w:tcW w:w="942"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 xml:space="preserve">0.22 </w:t>
            </w:r>
          </w:p>
        </w:tc>
        <w:tc>
          <w:tcPr>
            <w:tcW w:w="714"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eastAsia" w:cs="Times New Roman"/>
                <w:b/>
                <w:color w:val="000000"/>
                <w:kern w:val="0"/>
                <w:szCs w:val="21"/>
                <w:lang w:val="en-US" w:eastAsia="zh-CN"/>
              </w:rPr>
              <w:t>30.3</w:t>
            </w:r>
          </w:p>
        </w:tc>
      </w:tr>
      <w:bookmark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restart"/>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生活污水</w:t>
            </w:r>
          </w:p>
          <w:p>
            <w:pPr>
              <w:jc w:val="center"/>
              <w:rPr>
                <w:rFonts w:hint="default" w:ascii="Times New Roman" w:hAnsi="Times New Roman" w:cs="Times New Roman"/>
              </w:rPr>
            </w:pPr>
            <w:r>
              <w:rPr>
                <w:rFonts w:hint="default" w:ascii="Times New Roman" w:hAnsi="Times New Roman" w:cs="Times New Roman"/>
              </w:rPr>
              <w:t>排放口</w:t>
            </w:r>
          </w:p>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lang w:eastAsia="zh-CN"/>
              </w:rPr>
              <w:t>11月12日</w:t>
            </w: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09:23</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7.41</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14.4</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0.78</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104</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414</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106</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0.25</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10:56</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7.45</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15.0</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0.84</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120</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394</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126</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0.25</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13:03</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7.47</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14.6</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0.88</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138</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376</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117</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0.25</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14:39</w:t>
            </w:r>
          </w:p>
        </w:tc>
        <w:tc>
          <w:tcPr>
            <w:tcW w:w="943" w:type="dxa"/>
            <w:tcMar>
              <w:left w:w="28" w:type="dxa"/>
              <w:right w:w="28" w:type="dxa"/>
            </w:tcMar>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7.44</w:t>
            </w:r>
          </w:p>
        </w:tc>
        <w:tc>
          <w:tcPr>
            <w:tcW w:w="827"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14.4</w:t>
            </w:r>
          </w:p>
        </w:tc>
        <w:tc>
          <w:tcPr>
            <w:tcW w:w="827"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0.72</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130</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402</w:t>
            </w:r>
          </w:p>
        </w:tc>
        <w:tc>
          <w:tcPr>
            <w:tcW w:w="828"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113</w:t>
            </w:r>
          </w:p>
        </w:tc>
        <w:tc>
          <w:tcPr>
            <w:tcW w:w="942" w:type="dxa"/>
            <w:vAlign w:val="center"/>
          </w:tcPr>
          <w:p>
            <w:pPr>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0.25</w:t>
            </w:r>
          </w:p>
        </w:tc>
        <w:tc>
          <w:tcPr>
            <w:tcW w:w="714" w:type="dxa"/>
            <w:vAlign w:val="center"/>
          </w:tcPr>
          <w:p>
            <w:pPr>
              <w:spacing w:line="240" w:lineRule="exact"/>
              <w:jc w:val="center"/>
              <w:rPr>
                <w:rFonts w:hint="default" w:ascii="Times New Roman" w:hAnsi="Times New Roman" w:cs="Times New Roman"/>
                <w:lang w:val="en-US" w:eastAsia="zh-CN"/>
              </w:rPr>
            </w:pPr>
            <w:r>
              <w:rPr>
                <w:rFonts w:hint="eastAsia" w:ascii="Times New Roman" w:hAnsi="Times New Roman" w:cs="Times New Roman"/>
                <w:lang w:val="en-US" w:eastAsia="zh-CN"/>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146" w:type="dxa"/>
            <w:vMerge w:val="continue"/>
            <w:tcMar>
              <w:left w:w="28" w:type="dxa"/>
              <w:right w:w="28" w:type="dxa"/>
            </w:tcMar>
            <w:vAlign w:val="center"/>
          </w:tcPr>
          <w:p>
            <w:pPr>
              <w:jc w:val="center"/>
              <w:rPr>
                <w:rFonts w:hint="default" w:ascii="Times New Roman" w:hAnsi="Times New Roman" w:cs="Times New Roman"/>
                <w:color w:val="000000"/>
                <w:szCs w:val="21"/>
              </w:rPr>
            </w:pPr>
          </w:p>
        </w:tc>
        <w:tc>
          <w:tcPr>
            <w:tcW w:w="750" w:type="dxa"/>
            <w:tcMar>
              <w:left w:w="28" w:type="dxa"/>
              <w:right w:w="28" w:type="dxa"/>
            </w:tcMar>
            <w:vAlign w:val="center"/>
          </w:tcPr>
          <w:p>
            <w:pPr>
              <w:adjustRightInd w:val="0"/>
              <w:snapToGrid w:val="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平均值</w:t>
            </w:r>
          </w:p>
        </w:tc>
        <w:tc>
          <w:tcPr>
            <w:tcW w:w="943" w:type="dxa"/>
            <w:tcMar>
              <w:left w:w="28" w:type="dxa"/>
              <w:right w:w="28" w:type="dxa"/>
            </w:tcMar>
            <w:vAlign w:val="center"/>
          </w:tcPr>
          <w:p>
            <w:pPr>
              <w:widowControl/>
              <w:jc w:val="center"/>
              <w:textAlignment w:val="center"/>
              <w:rPr>
                <w:rFonts w:hint="default" w:ascii="Times New Roman" w:hAnsi="Times New Roman" w:eastAsia="宋体" w:cs="Times New Roman"/>
                <w:b/>
                <w:color w:val="000000"/>
                <w:kern w:val="0"/>
                <w:szCs w:val="21"/>
                <w:lang w:val="en-US" w:eastAsia="zh-CN"/>
              </w:rPr>
            </w:pPr>
            <w:r>
              <w:rPr>
                <w:rFonts w:hint="eastAsia" w:ascii="Times New Roman" w:hAnsi="Times New Roman" w:cs="Times New Roman"/>
                <w:b/>
                <w:color w:val="000000"/>
                <w:kern w:val="0"/>
                <w:szCs w:val="21"/>
                <w:lang w:val="en-US" w:eastAsia="zh-CN"/>
              </w:rPr>
              <w:t>7.41-7.47</w:t>
            </w:r>
          </w:p>
        </w:tc>
        <w:tc>
          <w:tcPr>
            <w:tcW w:w="827"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eastAsia" w:cs="Times New Roman"/>
                <w:b/>
                <w:color w:val="000000"/>
                <w:kern w:val="0"/>
                <w:szCs w:val="21"/>
                <w:lang w:val="en-US" w:eastAsia="zh-CN"/>
              </w:rPr>
              <w:t>14.6</w:t>
            </w:r>
          </w:p>
        </w:tc>
        <w:tc>
          <w:tcPr>
            <w:tcW w:w="827"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0.80</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123</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396</w:t>
            </w:r>
          </w:p>
        </w:tc>
        <w:tc>
          <w:tcPr>
            <w:tcW w:w="828"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11</w:t>
            </w:r>
            <w:r>
              <w:rPr>
                <w:rFonts w:hint="eastAsia" w:cs="Times New Roman"/>
                <w:b/>
                <w:color w:val="000000"/>
                <w:kern w:val="0"/>
                <w:szCs w:val="21"/>
                <w:lang w:val="en-US" w:eastAsia="zh-CN"/>
              </w:rPr>
              <w:t>6</w:t>
            </w:r>
          </w:p>
        </w:tc>
        <w:tc>
          <w:tcPr>
            <w:tcW w:w="942"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default" w:ascii="Times New Roman" w:hAnsi="Times New Roman" w:cs="Times New Roman"/>
                <w:b/>
                <w:color w:val="000000"/>
                <w:kern w:val="0"/>
                <w:szCs w:val="21"/>
                <w:lang w:val="en-US" w:eastAsia="zh-CN"/>
              </w:rPr>
              <w:t xml:space="preserve">0.25 </w:t>
            </w:r>
          </w:p>
        </w:tc>
        <w:tc>
          <w:tcPr>
            <w:tcW w:w="714" w:type="dxa"/>
            <w:vAlign w:val="center"/>
          </w:tcPr>
          <w:p>
            <w:pPr>
              <w:widowControl/>
              <w:jc w:val="center"/>
              <w:textAlignment w:val="center"/>
              <w:rPr>
                <w:rFonts w:hint="default" w:ascii="Times New Roman" w:hAnsi="Times New Roman" w:cs="Times New Roman"/>
                <w:b/>
                <w:color w:val="000000"/>
                <w:kern w:val="0"/>
                <w:szCs w:val="21"/>
                <w:lang w:val="en-US" w:eastAsia="zh-CN"/>
              </w:rPr>
            </w:pPr>
            <w:r>
              <w:rPr>
                <w:rFonts w:hint="eastAsia" w:cs="Times New Roman"/>
                <w:b/>
                <w:color w:val="000000"/>
                <w:kern w:val="0"/>
                <w:szCs w:val="21"/>
                <w:lang w:val="en-US" w:eastAsia="zh-CN"/>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atLeast"/>
          <w:jc w:val="center"/>
        </w:trPr>
        <w:tc>
          <w:tcPr>
            <w:tcW w:w="1896" w:type="dxa"/>
            <w:gridSpan w:val="2"/>
            <w:tcMar>
              <w:left w:w="28" w:type="dxa"/>
              <w:right w:w="28" w:type="dxa"/>
            </w:tcMar>
            <w:vAlign w:val="center"/>
          </w:tcPr>
          <w:p>
            <w:pPr>
              <w:adjustRightInd w:val="0"/>
              <w:snapToGrid w:val="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排放限值</w:t>
            </w:r>
          </w:p>
        </w:tc>
        <w:tc>
          <w:tcPr>
            <w:tcW w:w="943" w:type="dxa"/>
            <w:tcMar>
              <w:left w:w="28" w:type="dxa"/>
              <w:right w:w="28" w:type="dxa"/>
            </w:tcMar>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6~9</w:t>
            </w:r>
          </w:p>
        </w:tc>
        <w:tc>
          <w:tcPr>
            <w:tcW w:w="827"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35</w:t>
            </w:r>
          </w:p>
        </w:tc>
        <w:tc>
          <w:tcPr>
            <w:tcW w:w="827"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8</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400</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500</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300</w:t>
            </w:r>
          </w:p>
        </w:tc>
        <w:tc>
          <w:tcPr>
            <w:tcW w:w="942" w:type="dxa"/>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100</w:t>
            </w:r>
          </w:p>
        </w:tc>
        <w:tc>
          <w:tcPr>
            <w:tcW w:w="714" w:type="dxa"/>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1896" w:type="dxa"/>
            <w:gridSpan w:val="2"/>
            <w:tcMar>
              <w:left w:w="28" w:type="dxa"/>
              <w:right w:w="28" w:type="dxa"/>
            </w:tcMar>
            <w:vAlign w:val="center"/>
          </w:tcPr>
          <w:p>
            <w:pPr>
              <w:adjustRightInd w:val="0"/>
              <w:snapToGrid w:val="0"/>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评  价</w:t>
            </w:r>
          </w:p>
        </w:tc>
        <w:tc>
          <w:tcPr>
            <w:tcW w:w="943" w:type="dxa"/>
            <w:tcMar>
              <w:left w:w="28" w:type="dxa"/>
              <w:right w:w="28" w:type="dxa"/>
            </w:tcMar>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827"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827"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828" w:type="dxa"/>
            <w:vAlign w:val="center"/>
          </w:tcPr>
          <w:p>
            <w:pPr>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达标</w:t>
            </w:r>
          </w:p>
        </w:tc>
        <w:tc>
          <w:tcPr>
            <w:tcW w:w="942" w:type="dxa"/>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rPr>
              <w:t>达标</w:t>
            </w:r>
          </w:p>
        </w:tc>
        <w:tc>
          <w:tcPr>
            <w:tcW w:w="714" w:type="dxa"/>
            <w:vAlign w:val="center"/>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w:t>
            </w:r>
          </w:p>
        </w:tc>
      </w:tr>
    </w:tbl>
    <w:p>
      <w:pPr>
        <w:spacing w:line="360" w:lineRule="auto"/>
        <w:rPr>
          <w:rFonts w:hint="default" w:ascii="Times New Roman" w:hAnsi="Times New Roman" w:cs="Times New Roman"/>
          <w:szCs w:val="21"/>
        </w:rPr>
      </w:pPr>
      <w:r>
        <w:rPr>
          <w:rFonts w:hint="default" w:ascii="Times New Roman" w:hAnsi="Times New Roman" w:cs="Times New Roman"/>
          <w:szCs w:val="21"/>
        </w:rPr>
        <w:t>注：以上监测数据引自XH(HJ)</w:t>
      </w:r>
      <w:r>
        <w:rPr>
          <w:rFonts w:hint="default" w:ascii="Times New Roman" w:hAnsi="Times New Roman" w:cs="Times New Roman"/>
          <w:color w:val="auto"/>
          <w:szCs w:val="21"/>
        </w:rPr>
        <w:t>-20</w:t>
      </w:r>
      <w:r>
        <w:rPr>
          <w:rFonts w:hint="eastAsia" w:cs="Times New Roman"/>
          <w:color w:val="auto"/>
          <w:szCs w:val="21"/>
          <w:lang w:val="en-US" w:eastAsia="zh-CN"/>
        </w:rPr>
        <w:t>11242</w:t>
      </w:r>
      <w:r>
        <w:rPr>
          <w:rFonts w:hint="default" w:ascii="Times New Roman" w:hAnsi="Times New Roman" w:cs="Times New Roman"/>
          <w:color w:val="auto"/>
          <w:szCs w:val="21"/>
        </w:rPr>
        <w:t>号检测报</w:t>
      </w:r>
      <w:r>
        <w:rPr>
          <w:rFonts w:hint="default" w:ascii="Times New Roman" w:hAnsi="Times New Roman" w:cs="Times New Roman"/>
          <w:szCs w:val="21"/>
        </w:rPr>
        <w:t>告。</w:t>
      </w:r>
    </w:p>
    <w:p>
      <w:pPr>
        <w:spacing w:line="360" w:lineRule="auto"/>
        <w:jc w:val="center"/>
        <w:rPr>
          <w:rFonts w:hint="default" w:ascii="Times New Roman" w:hAnsi="Times New Roman" w:cs="Times New Roman"/>
        </w:rPr>
      </w:pPr>
      <w:r>
        <w:rPr>
          <w:rFonts w:hint="default" w:ascii="Times New Roman" w:hAnsi="Times New Roman" w:eastAsia="楷体" w:cs="Times New Roman"/>
          <w:sz w:val="24"/>
          <w:szCs w:val="24"/>
        </w:rPr>
        <w:t>表10-3排气筒中废气监测结果统计表</w:t>
      </w:r>
    </w:p>
    <w:tbl>
      <w:tblPr>
        <w:tblStyle w:val="3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6"/>
        <w:gridCol w:w="506"/>
        <w:gridCol w:w="2235"/>
        <w:gridCol w:w="1154"/>
        <w:gridCol w:w="1111"/>
        <w:gridCol w:w="1130"/>
        <w:gridCol w:w="981"/>
        <w:gridCol w:w="578"/>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342" w:type="dxa"/>
            <w:gridSpan w:val="2"/>
            <w:vMerge w:val="restart"/>
            <w:vAlign w:val="center"/>
          </w:tcPr>
          <w:p>
            <w:pPr>
              <w:jc w:val="center"/>
              <w:rPr>
                <w:rFonts w:hint="default" w:ascii="Times New Roman" w:hAnsi="Times New Roman" w:cs="Times New Roman"/>
              </w:rPr>
            </w:pPr>
            <w:r>
              <w:rPr>
                <w:rFonts w:hint="default" w:ascii="Times New Roman" w:hAnsi="Times New Roman" w:cs="Times New Roman"/>
              </w:rPr>
              <w:t>抽样位置</w:t>
            </w:r>
          </w:p>
          <w:p>
            <w:pPr>
              <w:jc w:val="center"/>
              <w:rPr>
                <w:rFonts w:hint="default" w:ascii="Times New Roman" w:hAnsi="Times New Roman" w:cs="Times New Roman"/>
              </w:rPr>
            </w:pPr>
            <w:r>
              <w:rPr>
                <w:rFonts w:hint="default" w:ascii="Times New Roman" w:hAnsi="Times New Roman" w:cs="Times New Roman"/>
              </w:rPr>
              <w:t>及日期</w:t>
            </w:r>
          </w:p>
        </w:tc>
        <w:tc>
          <w:tcPr>
            <w:tcW w:w="2235" w:type="dxa"/>
            <w:vMerge w:val="restart"/>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监测项目</w:t>
            </w:r>
          </w:p>
        </w:tc>
        <w:tc>
          <w:tcPr>
            <w:tcW w:w="4376" w:type="dxa"/>
            <w:gridSpan w:val="4"/>
            <w:vAlign w:val="center"/>
          </w:tcPr>
          <w:p>
            <w:pPr>
              <w:jc w:val="center"/>
              <w:rPr>
                <w:rFonts w:hint="default" w:ascii="Times New Roman" w:hAnsi="Times New Roman" w:cs="Times New Roman"/>
                <w:b/>
                <w:bCs/>
                <w:spacing w:val="-4"/>
                <w:szCs w:val="21"/>
              </w:rPr>
            </w:pPr>
            <w:r>
              <w:rPr>
                <w:rFonts w:hint="default" w:ascii="Times New Roman" w:hAnsi="Times New Roman" w:cs="Times New Roman"/>
                <w:spacing w:val="-4"/>
                <w:szCs w:val="21"/>
              </w:rPr>
              <w:t>监测结果</w:t>
            </w:r>
          </w:p>
        </w:tc>
        <w:tc>
          <w:tcPr>
            <w:tcW w:w="578" w:type="dxa"/>
            <w:vMerge w:val="restart"/>
            <w:vAlign w:val="center"/>
          </w:tcPr>
          <w:p>
            <w:pPr>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排放</w:t>
            </w:r>
          </w:p>
          <w:p>
            <w:pPr>
              <w:jc w:val="center"/>
              <w:rPr>
                <w:rFonts w:hint="default" w:ascii="Times New Roman" w:hAnsi="Times New Roman" w:eastAsia="经典行楷简" w:cs="Times New Roman"/>
                <w:b/>
                <w:bCs/>
              </w:rPr>
            </w:pPr>
            <w:r>
              <w:rPr>
                <w:rFonts w:hint="default" w:ascii="Times New Roman" w:hAnsi="Times New Roman" w:cs="Times New Roman"/>
                <w:b/>
                <w:bCs/>
                <w:kern w:val="0"/>
                <w:szCs w:val="21"/>
              </w:rPr>
              <w:t>限值</w:t>
            </w:r>
          </w:p>
        </w:tc>
        <w:tc>
          <w:tcPr>
            <w:tcW w:w="541" w:type="dxa"/>
            <w:vMerge w:val="restart"/>
            <w:vAlign w:val="center"/>
          </w:tcPr>
          <w:p>
            <w:pPr>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blHeader/>
          <w:jc w:val="center"/>
        </w:trPr>
        <w:tc>
          <w:tcPr>
            <w:tcW w:w="1342" w:type="dxa"/>
            <w:gridSpan w:val="2"/>
            <w:vMerge w:val="continue"/>
            <w:vAlign w:val="center"/>
          </w:tcPr>
          <w:p>
            <w:pPr>
              <w:jc w:val="center"/>
              <w:rPr>
                <w:rFonts w:hint="default" w:ascii="Times New Roman" w:hAnsi="Times New Roman" w:cs="Times New Roman"/>
              </w:rPr>
            </w:pPr>
          </w:p>
        </w:tc>
        <w:tc>
          <w:tcPr>
            <w:tcW w:w="2235" w:type="dxa"/>
            <w:vMerge w:val="continue"/>
            <w:vAlign w:val="center"/>
          </w:tcPr>
          <w:p>
            <w:pPr>
              <w:jc w:val="center"/>
              <w:rPr>
                <w:rFonts w:hint="default" w:ascii="Times New Roman" w:hAnsi="Times New Roman" w:cs="Times New Roman"/>
              </w:rPr>
            </w:pPr>
          </w:p>
        </w:tc>
        <w:tc>
          <w:tcPr>
            <w:tcW w:w="1154" w:type="dxa"/>
            <w:vAlign w:val="center"/>
          </w:tcPr>
          <w:p>
            <w:pPr>
              <w:jc w:val="center"/>
              <w:rPr>
                <w:rFonts w:hint="default" w:ascii="Times New Roman" w:hAnsi="Times New Roman" w:cs="Times New Roman"/>
                <w:spacing w:val="-4"/>
                <w:szCs w:val="21"/>
              </w:rPr>
            </w:pPr>
            <w:r>
              <w:rPr>
                <w:rFonts w:hint="default" w:ascii="Times New Roman" w:hAnsi="Times New Roman" w:cs="Times New Roman"/>
                <w:spacing w:val="-4"/>
                <w:szCs w:val="21"/>
              </w:rPr>
              <w:t>第1次</w:t>
            </w:r>
          </w:p>
        </w:tc>
        <w:tc>
          <w:tcPr>
            <w:tcW w:w="1111" w:type="dxa"/>
            <w:vAlign w:val="center"/>
          </w:tcPr>
          <w:p>
            <w:pPr>
              <w:jc w:val="center"/>
              <w:rPr>
                <w:rFonts w:hint="default" w:ascii="Times New Roman" w:hAnsi="Times New Roman" w:cs="Times New Roman"/>
                <w:spacing w:val="-4"/>
                <w:szCs w:val="21"/>
              </w:rPr>
            </w:pPr>
            <w:r>
              <w:rPr>
                <w:rFonts w:hint="default" w:ascii="Times New Roman" w:hAnsi="Times New Roman" w:cs="Times New Roman"/>
                <w:spacing w:val="-4"/>
                <w:szCs w:val="21"/>
              </w:rPr>
              <w:t>第2次</w:t>
            </w:r>
          </w:p>
        </w:tc>
        <w:tc>
          <w:tcPr>
            <w:tcW w:w="1130" w:type="dxa"/>
            <w:vAlign w:val="center"/>
          </w:tcPr>
          <w:p>
            <w:pPr>
              <w:jc w:val="center"/>
              <w:rPr>
                <w:rFonts w:hint="default" w:ascii="Times New Roman" w:hAnsi="Times New Roman" w:cs="Times New Roman"/>
                <w:spacing w:val="-4"/>
                <w:szCs w:val="21"/>
              </w:rPr>
            </w:pPr>
            <w:r>
              <w:rPr>
                <w:rFonts w:hint="default" w:ascii="Times New Roman" w:hAnsi="Times New Roman" w:cs="Times New Roman"/>
                <w:spacing w:val="-4"/>
                <w:szCs w:val="21"/>
              </w:rPr>
              <w:t>第3次</w:t>
            </w:r>
          </w:p>
        </w:tc>
        <w:tc>
          <w:tcPr>
            <w:tcW w:w="981" w:type="dxa"/>
            <w:vAlign w:val="center"/>
          </w:tcPr>
          <w:p>
            <w:pPr>
              <w:jc w:val="center"/>
              <w:rPr>
                <w:rFonts w:hint="default" w:ascii="Times New Roman" w:hAnsi="Times New Roman" w:cs="Times New Roman"/>
                <w:b/>
                <w:bCs/>
                <w:spacing w:val="-4"/>
                <w:szCs w:val="21"/>
              </w:rPr>
            </w:pPr>
            <w:r>
              <w:rPr>
                <w:rFonts w:hint="default" w:ascii="Times New Roman" w:hAnsi="Times New Roman" w:cs="Times New Roman"/>
                <w:b/>
                <w:bCs/>
                <w:spacing w:val="-4"/>
                <w:szCs w:val="21"/>
              </w:rPr>
              <w:t>最大值</w:t>
            </w:r>
          </w:p>
        </w:tc>
        <w:tc>
          <w:tcPr>
            <w:tcW w:w="578" w:type="dxa"/>
            <w:vMerge w:val="continue"/>
            <w:vAlign w:val="center"/>
          </w:tcPr>
          <w:p>
            <w:pPr>
              <w:jc w:val="center"/>
              <w:rPr>
                <w:rFonts w:hint="default" w:ascii="Times New Roman" w:hAnsi="Times New Roman" w:cs="Times New Roman"/>
                <w:b/>
                <w:bCs/>
                <w:spacing w:val="-4"/>
                <w:szCs w:val="21"/>
              </w:rPr>
            </w:pPr>
          </w:p>
        </w:tc>
        <w:tc>
          <w:tcPr>
            <w:tcW w:w="541" w:type="dxa"/>
            <w:vMerge w:val="continue"/>
            <w:vAlign w:val="center"/>
          </w:tcPr>
          <w:p>
            <w:pPr>
              <w:jc w:val="center"/>
              <w:rPr>
                <w:rFonts w:hint="default" w:ascii="Times New Roman" w:hAnsi="Times New Roman" w:cs="Times New Roman"/>
                <w:b/>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widowControl/>
              <w:jc w:val="center"/>
              <w:textAlignment w:val="center"/>
              <w:rPr>
                <w:rFonts w:hint="default" w:ascii="Times New Roman" w:hAnsi="Times New Roman" w:cs="Times New Roman"/>
                <w:color w:val="000000"/>
              </w:rPr>
            </w:pPr>
          </w:p>
          <w:p>
            <w:pPr>
              <w:widowControl/>
              <w:jc w:val="center"/>
              <w:textAlignment w:val="center"/>
              <w:rPr>
                <w:rFonts w:hint="default" w:ascii="Times New Roman" w:hAnsi="Times New Roman" w:cs="Times New Roman"/>
                <w:color w:val="000000"/>
              </w:rPr>
            </w:pPr>
          </w:p>
          <w:p>
            <w:pPr>
              <w:widowControl/>
              <w:jc w:val="center"/>
              <w:textAlignment w:val="center"/>
              <w:rPr>
                <w:rFonts w:hint="default" w:ascii="Times New Roman" w:hAnsi="Times New Roman" w:cs="Times New Roman"/>
                <w:color w:val="000000"/>
              </w:rPr>
            </w:pPr>
          </w:p>
          <w:p>
            <w:pPr>
              <w:widowControl/>
              <w:jc w:val="center"/>
              <w:textAlignment w:val="center"/>
              <w:rPr>
                <w:rFonts w:hint="default" w:ascii="Times New Roman" w:hAnsi="Times New Roman" w:cs="Times New Roman"/>
                <w:color w:val="000000"/>
              </w:rPr>
            </w:pP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DA027自动喷漆车间</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水喷淋塔+除雾器+UV光解+活性炭吸附设备</w:t>
            </w:r>
          </w:p>
          <w:p>
            <w:pPr>
              <w:jc w:val="center"/>
              <w:rPr>
                <w:rFonts w:hint="default" w:ascii="Times New Roman" w:hAnsi="Times New Roman" w:cs="Times New Roman"/>
                <w:color w:val="FF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r>
              <w:rPr>
                <w:rFonts w:hint="default" w:ascii="Times New Roman" w:hAnsi="Times New Roman" w:cs="Times New Roman"/>
                <w:color w:val="000000"/>
                <w:lang w:val="en-US" w:eastAsia="zh-CN"/>
              </w:rPr>
              <w:t>11</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净化</w:t>
            </w:r>
          </w:p>
          <w:p>
            <w:pPr>
              <w:jc w:val="center"/>
              <w:rPr>
                <w:rFonts w:hint="default" w:ascii="Times New Roman" w:hAnsi="Times New Roman" w:cs="Times New Roman"/>
                <w:color w:val="000000"/>
              </w:rPr>
            </w:pPr>
            <w:r>
              <w:rPr>
                <w:rFonts w:hint="default" w:ascii="Times New Roman" w:hAnsi="Times New Roman" w:cs="Times New Roman"/>
                <w:color w:val="000000"/>
              </w:rPr>
              <w:t>前排气筒</w:t>
            </w: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5.2×10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4.8×10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4.8×10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5.2×10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000000"/>
                <w:lang w:val="en-US" w:eastAsia="zh-CN"/>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41</w:t>
            </w:r>
          </w:p>
        </w:tc>
        <w:tc>
          <w:tcPr>
            <w:tcW w:w="1111" w:type="dxa"/>
            <w:vAlign w:val="center"/>
          </w:tcPr>
          <w:p>
            <w:pPr>
              <w:jc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130" w:type="dxa"/>
            <w:vAlign w:val="center"/>
          </w:tcPr>
          <w:p>
            <w:pPr>
              <w:jc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981" w:type="dxa"/>
            <w:vAlign w:val="center"/>
          </w:tcPr>
          <w:p>
            <w:pPr>
              <w:jc w:val="center"/>
              <w:rPr>
                <w:rFonts w:hint="default" w:ascii="Times New Roman" w:hAnsi="Times New Roman" w:cs="Times New Roman"/>
                <w:b/>
                <w:bCs/>
                <w:color w:val="000000"/>
                <w:kern w:val="0"/>
                <w:szCs w:val="21"/>
              </w:rPr>
            </w:pPr>
            <w:r>
              <w:rPr>
                <w:rFonts w:hint="default" w:ascii="Times New Roman" w:hAnsi="Times New Roman" w:eastAsia="宋体" w:cs="Times New Roman"/>
                <w:b/>
                <w:bCs/>
                <w:i w:val="0"/>
                <w:color w:val="000000"/>
                <w:kern w:val="0"/>
                <w:sz w:val="21"/>
                <w:szCs w:val="21"/>
                <w:u w:val="none"/>
                <w:lang w:val="en-US" w:eastAsia="zh-CN" w:bidi="ar"/>
              </w:rPr>
              <w:t>41</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000000"/>
                <w:lang w:val="en-US" w:eastAsia="zh-CN"/>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0.21</w:t>
            </w:r>
          </w:p>
        </w:tc>
        <w:tc>
          <w:tcPr>
            <w:tcW w:w="1111" w:type="dxa"/>
            <w:vAlign w:val="center"/>
          </w:tcPr>
          <w:p>
            <w:pPr>
              <w:jc w:val="center"/>
              <w:rPr>
                <w:rFonts w:hint="default" w:ascii="Times New Roman" w:hAnsi="Times New Roman" w:cs="Times New Roman"/>
                <w:color w:val="000000"/>
                <w:kern w:val="0"/>
                <w:szCs w:val="21"/>
              </w:rPr>
            </w:pPr>
            <w:r>
              <w:rPr>
                <w:rFonts w:hint="default" w:ascii="Times New Roman" w:hAnsi="Times New Roman" w:eastAsia="宋体" w:cs="Times New Roman"/>
                <w:b w:val="0"/>
                <w:bCs w:val="0"/>
                <w:i w:val="0"/>
                <w:color w:val="000000"/>
                <w:kern w:val="0"/>
                <w:sz w:val="21"/>
                <w:szCs w:val="21"/>
                <w:u w:val="none"/>
                <w:lang w:val="en-US" w:eastAsia="zh-CN" w:bidi="ar"/>
              </w:rPr>
              <w:t xml:space="preserve">＜0.096 </w:t>
            </w:r>
          </w:p>
        </w:tc>
        <w:tc>
          <w:tcPr>
            <w:tcW w:w="1130" w:type="dxa"/>
            <w:vAlign w:val="center"/>
          </w:tcPr>
          <w:p>
            <w:pPr>
              <w:jc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 xml:space="preserve">＜0.096 </w:t>
            </w:r>
          </w:p>
        </w:tc>
        <w:tc>
          <w:tcPr>
            <w:tcW w:w="981" w:type="dxa"/>
            <w:vAlign w:val="center"/>
          </w:tcPr>
          <w:p>
            <w:pPr>
              <w:jc w:val="center"/>
              <w:rPr>
                <w:rFonts w:hint="default" w:ascii="Times New Roman" w:hAnsi="Times New Roman" w:cs="Times New Roman"/>
                <w:b/>
                <w:bCs/>
                <w:color w:val="000000"/>
                <w:kern w:val="0"/>
                <w:szCs w:val="21"/>
              </w:rPr>
            </w:pPr>
            <w:r>
              <w:rPr>
                <w:rFonts w:hint="default" w:ascii="Times New Roman" w:hAnsi="Times New Roman" w:eastAsia="宋体" w:cs="Times New Roman"/>
                <w:b/>
                <w:bCs/>
                <w:i w:val="0"/>
                <w:color w:val="000000"/>
                <w:kern w:val="0"/>
                <w:sz w:val="21"/>
                <w:szCs w:val="21"/>
                <w:u w:val="none"/>
                <w:lang w:val="en-US" w:eastAsia="zh-CN" w:bidi="ar"/>
              </w:rPr>
              <w:t>0.21</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3.24</w:t>
            </w:r>
          </w:p>
        </w:tc>
        <w:tc>
          <w:tcPr>
            <w:tcW w:w="1111"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1.69</w:t>
            </w:r>
          </w:p>
        </w:tc>
        <w:tc>
          <w:tcPr>
            <w:tcW w:w="1130"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3.86</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3.86</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0.017</w:t>
            </w:r>
          </w:p>
        </w:tc>
        <w:tc>
          <w:tcPr>
            <w:tcW w:w="1111"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0.0081</w:t>
            </w:r>
          </w:p>
        </w:tc>
        <w:tc>
          <w:tcPr>
            <w:tcW w:w="1130"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 xml:space="preserve">0.019 </w:t>
            </w:r>
          </w:p>
        </w:tc>
        <w:tc>
          <w:tcPr>
            <w:tcW w:w="981" w:type="dxa"/>
            <w:vAlign w:val="center"/>
          </w:tcPr>
          <w:p>
            <w:pPr>
              <w:widowControl/>
              <w:jc w:val="center"/>
              <w:textAlignment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0.019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1.54</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0.562</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1.90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1.90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0.0080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0.0027</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0.0091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0.0091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spacing w:val="-11"/>
                <w:kern w:val="0"/>
                <w:sz w:val="20"/>
                <w:szCs w:val="22"/>
              </w:rPr>
              <w:t>乙酸酯类产生浓度，mg/m</w:t>
            </w:r>
            <w:r>
              <w:rPr>
                <w:rFonts w:hint="default" w:ascii="Times New Roman" w:hAnsi="Times New Roman" w:cs="Times New Roman"/>
                <w:color w:val="000000"/>
                <w:spacing w:val="-11"/>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1.36</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0.862</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1.17</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1.36</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乙酸酯类产生速率，kg/h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0.0071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0.0041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0.0056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0.0071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净化后排气筒</w:t>
            </w:r>
            <w:r>
              <w:rPr>
                <w:rFonts w:hint="default" w:ascii="Times New Roman" w:hAnsi="Times New Roman" w:cs="Times New Roman"/>
                <w:color w:val="000000"/>
                <w:spacing w:val="-20"/>
              </w:rPr>
              <w:t>(2</w:t>
            </w:r>
            <w:r>
              <w:rPr>
                <w:rFonts w:hint="default" w:ascii="Times New Roman" w:hAnsi="Times New Roman" w:cs="Times New Roman"/>
                <w:color w:val="000000"/>
                <w:spacing w:val="-20"/>
                <w:lang w:val="en-US" w:eastAsia="zh-CN"/>
              </w:rPr>
              <w:t>6</w:t>
            </w:r>
            <w:r>
              <w:rPr>
                <w:rFonts w:hint="default" w:ascii="Times New Roman" w:hAnsi="Times New Roman" w:cs="Times New Roman"/>
                <w:color w:val="000000"/>
                <w:spacing w:val="-20"/>
              </w:rPr>
              <w:t>m)</w:t>
            </w: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6.1×10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6.2×10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6.2×10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6.2×10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c>
          <w:tcPr>
            <w:tcW w:w="1111" w:type="dxa"/>
            <w:vAlign w:val="center"/>
          </w:tcPr>
          <w:p>
            <w:pPr>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＜20</w:t>
            </w:r>
          </w:p>
        </w:tc>
        <w:tc>
          <w:tcPr>
            <w:tcW w:w="578" w:type="dxa"/>
            <w:vAlign w:val="center"/>
          </w:tcPr>
          <w:p>
            <w:pPr>
              <w:jc w:val="center"/>
              <w:rPr>
                <w:rFonts w:hint="default" w:ascii="Times New Roman" w:hAnsi="Times New Roman" w:eastAsia="经典行楷简" w:cs="Times New Roman"/>
                <w:b/>
                <w:bCs/>
                <w:color w:val="000000"/>
                <w:lang w:val="en-US" w:eastAsia="zh-CN"/>
              </w:rPr>
            </w:pPr>
            <w:r>
              <w:rPr>
                <w:rFonts w:hint="default" w:ascii="Times New Roman" w:hAnsi="Times New Roman" w:eastAsia="经典行楷简" w:cs="Times New Roman"/>
                <w:b/>
                <w:bCs/>
                <w:color w:val="000000"/>
                <w:lang w:val="en-US" w:eastAsia="zh-CN"/>
              </w:rPr>
              <w:t>30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lang w:eastAsia="zh-CN"/>
              </w:rPr>
              <w:t>颗粒物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＜0.12</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＜0.12</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＜0.12</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＜0.12</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1.35</w:t>
            </w:r>
          </w:p>
        </w:tc>
        <w:tc>
          <w:tcPr>
            <w:tcW w:w="1111"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1.81</w:t>
            </w:r>
          </w:p>
        </w:tc>
        <w:tc>
          <w:tcPr>
            <w:tcW w:w="1130"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1.36</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1.81</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1</w:t>
            </w:r>
            <w:r>
              <w:rPr>
                <w:rFonts w:hint="default" w:ascii="Times New Roman" w:hAnsi="Times New Roman" w:eastAsia="经典行楷简" w:cs="Times New Roman"/>
                <w:b/>
                <w:bCs/>
                <w:color w:val="000000"/>
                <w:lang w:val="en-US" w:eastAsia="zh-CN"/>
              </w:rPr>
              <w:t>5</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VOCs排放速率，kg/h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0.0082</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0.011</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0.0084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0.011</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0.867</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0.961</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0.785</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0.961</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lang w:val="en-US" w:eastAsia="zh-CN"/>
              </w:rPr>
              <w:t>4</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0.0053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0.0060</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0.0049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0.0060</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spacing w:val="-11"/>
                <w:kern w:val="0"/>
                <w:sz w:val="20"/>
                <w:szCs w:val="22"/>
              </w:rPr>
              <w:t>乙酸酯类</w:t>
            </w:r>
            <w:r>
              <w:rPr>
                <w:rFonts w:hint="default" w:ascii="Times New Roman" w:hAnsi="Times New Roman" w:cs="Times New Roman"/>
                <w:color w:val="000000"/>
                <w:spacing w:val="-11"/>
                <w:kern w:val="0"/>
              </w:rPr>
              <w:t>排放</w:t>
            </w:r>
            <w:r>
              <w:rPr>
                <w:rFonts w:hint="default" w:ascii="Times New Roman" w:hAnsi="Times New Roman" w:cs="Times New Roman"/>
                <w:color w:val="000000"/>
                <w:spacing w:val="-11"/>
                <w:kern w:val="0"/>
                <w:sz w:val="20"/>
                <w:szCs w:val="22"/>
              </w:rPr>
              <w:t>浓度，mg/m</w:t>
            </w:r>
            <w:r>
              <w:rPr>
                <w:rFonts w:hint="default" w:ascii="Times New Roman" w:hAnsi="Times New Roman" w:cs="Times New Roman"/>
                <w:color w:val="000000"/>
                <w:spacing w:val="-11"/>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0.439</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0.543</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0.431</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0.543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lang w:val="en-US" w:eastAsia="zh-CN"/>
              </w:rPr>
              <w:t>6</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乙酸酯类</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0.0027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0.0034</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0.0027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0.0034</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widowControl/>
              <w:jc w:val="center"/>
              <w:textAlignment w:val="center"/>
              <w:rPr>
                <w:rFonts w:hint="default" w:ascii="Times New Roman" w:hAnsi="Times New Roman" w:cs="Times New Roman"/>
                <w:color w:val="000000"/>
              </w:rPr>
            </w:pPr>
          </w:p>
          <w:p>
            <w:pPr>
              <w:widowControl/>
              <w:jc w:val="center"/>
              <w:textAlignment w:val="center"/>
              <w:rPr>
                <w:rFonts w:hint="default" w:ascii="Times New Roman" w:hAnsi="Times New Roman" w:cs="Times New Roman"/>
                <w:color w:val="000000"/>
              </w:rPr>
            </w:pPr>
          </w:p>
          <w:p>
            <w:pPr>
              <w:widowControl/>
              <w:jc w:val="center"/>
              <w:textAlignment w:val="center"/>
              <w:rPr>
                <w:rFonts w:hint="default" w:ascii="Times New Roman" w:hAnsi="Times New Roman" w:cs="Times New Roman"/>
                <w:color w:val="000000"/>
              </w:rPr>
            </w:pP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DA027自动喷漆车间</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水喷淋塔+除雾器+UV光解+活性炭吸附设备</w:t>
            </w:r>
          </w:p>
          <w:p>
            <w:pPr>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11</w:t>
            </w:r>
            <w:r>
              <w:rPr>
                <w:rFonts w:hint="default" w:ascii="Times New Roman" w:hAnsi="Times New Roman" w:cs="Times New Roman"/>
                <w:color w:val="000000"/>
                <w:kern w:val="0"/>
                <w:szCs w:val="21"/>
              </w:rPr>
              <w:t>月</w:t>
            </w:r>
          </w:p>
          <w:p>
            <w:pPr>
              <w:jc w:val="center"/>
              <w:rPr>
                <w:rFonts w:hint="default" w:ascii="Times New Roman" w:hAnsi="Times New Roman" w:cs="Times New Roman"/>
                <w:color w:val="FF0000"/>
              </w:rPr>
            </w:pPr>
            <w:r>
              <w:rPr>
                <w:rFonts w:hint="default" w:ascii="Times New Roman" w:hAnsi="Times New Roman" w:cs="Times New Roman"/>
                <w:color w:val="000000"/>
                <w:kern w:val="0"/>
                <w:szCs w:val="21"/>
                <w:lang w:val="en-US" w:eastAsia="zh-CN"/>
              </w:rPr>
              <w:t>12</w:t>
            </w:r>
            <w:r>
              <w:rPr>
                <w:rFonts w:hint="default" w:ascii="Times New Roman" w:hAnsi="Times New Roman" w:cs="Times New Roman"/>
                <w:color w:val="000000"/>
                <w:kern w:val="0"/>
                <w:szCs w:val="21"/>
              </w:rPr>
              <w:t>日</w:t>
            </w:r>
          </w:p>
        </w:tc>
        <w:tc>
          <w:tcPr>
            <w:tcW w:w="506" w:type="dxa"/>
            <w:vMerge w:val="restar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净化</w:t>
            </w:r>
          </w:p>
          <w:p>
            <w:pPr>
              <w:jc w:val="center"/>
              <w:rPr>
                <w:rFonts w:hint="default" w:ascii="Times New Roman" w:hAnsi="Times New Roman" w:cs="Times New Roman"/>
                <w:color w:val="000000"/>
              </w:rPr>
            </w:pPr>
            <w:r>
              <w:rPr>
                <w:rFonts w:hint="default" w:ascii="Times New Roman" w:hAnsi="Times New Roman" w:cs="Times New Roman"/>
                <w:color w:val="000000"/>
              </w:rPr>
              <w:t>前排气筒</w:t>
            </w: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5.6×10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5.6×10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5.5×10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5.6×10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000000"/>
                <w:kern w:val="0"/>
                <w:szCs w:val="21"/>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＜20</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34</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34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000000"/>
                <w:kern w:val="0"/>
                <w:szCs w:val="21"/>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＜0.11</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＜0.11</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0.19</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0.19</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3.00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3.43</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3.18</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3.43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0.017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0.019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0.017</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0.019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1.67</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1.88</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1.82</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1.88</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0.0094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0.011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0.010</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0.011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spacing w:val="-11"/>
                <w:kern w:val="0"/>
                <w:sz w:val="20"/>
                <w:szCs w:val="22"/>
              </w:rPr>
              <w:t>乙酸酯类产生浓度，mg/m</w:t>
            </w:r>
            <w:r>
              <w:rPr>
                <w:rFonts w:hint="default" w:ascii="Times New Roman" w:hAnsi="Times New Roman" w:cs="Times New Roman"/>
                <w:color w:val="000000"/>
                <w:spacing w:val="-11"/>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0.988</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1.26</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1.11</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1.26</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乙酸酯类产生速率，kg/h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0.0055</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0.0071</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0.0061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0.0071</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净化后排气筒</w:t>
            </w:r>
            <w:r>
              <w:rPr>
                <w:rFonts w:hint="default" w:ascii="Times New Roman" w:hAnsi="Times New Roman" w:cs="Times New Roman"/>
                <w:color w:val="000000"/>
                <w:spacing w:val="-20"/>
              </w:rPr>
              <w:t>(2</w:t>
            </w:r>
            <w:r>
              <w:rPr>
                <w:rFonts w:hint="default" w:ascii="Times New Roman" w:hAnsi="Times New Roman" w:cs="Times New Roman"/>
                <w:color w:val="000000"/>
                <w:spacing w:val="-20"/>
                <w:lang w:val="en-US" w:eastAsia="zh-CN"/>
              </w:rPr>
              <w:t>6</w:t>
            </w:r>
            <w:r>
              <w:rPr>
                <w:rFonts w:hint="default" w:ascii="Times New Roman" w:hAnsi="Times New Roman" w:cs="Times New Roman"/>
                <w:color w:val="000000"/>
                <w:spacing w:val="-20"/>
              </w:rPr>
              <w:t>m)</w:t>
            </w: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6.0×10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5.9×10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6.2×10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6.2×10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sz w:val="20"/>
                <w:szCs w:val="22"/>
                <w:lang w:eastAsia="zh-CN"/>
              </w:rPr>
              <w:t>颗粒物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＜20</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lang w:val="en-US" w:eastAsia="zh-CN"/>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color w:val="000000"/>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lang w:eastAsia="zh-CN"/>
              </w:rPr>
              <w:t>颗粒物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＜0.12 </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＜0.12 </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＜0.12 </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＜0.12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1.25</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1.51</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1.22</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1.51</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1</w:t>
            </w:r>
            <w:r>
              <w:rPr>
                <w:rFonts w:hint="default" w:ascii="Times New Roman" w:hAnsi="Times New Roman" w:eastAsia="经典行楷简" w:cs="Times New Roman"/>
                <w:b/>
                <w:bCs/>
                <w:color w:val="000000"/>
                <w:lang w:val="en-US" w:eastAsia="zh-CN"/>
              </w:rPr>
              <w:t>5</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VOCs排放速率，kg/h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0.0075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0.0089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0.0076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0.0089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0.776</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0.705</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0.671</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0.776</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lang w:val="en-US" w:eastAsia="zh-CN"/>
              </w:rPr>
              <w:t>4</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苯系物</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0.0047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0.0042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0.0042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0.0047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spacing w:val="-11"/>
                <w:kern w:val="0"/>
                <w:sz w:val="20"/>
                <w:szCs w:val="22"/>
              </w:rPr>
              <w:t>乙酸酯类</w:t>
            </w:r>
            <w:r>
              <w:rPr>
                <w:rFonts w:hint="default" w:ascii="Times New Roman" w:hAnsi="Times New Roman" w:cs="Times New Roman"/>
                <w:color w:val="000000"/>
                <w:spacing w:val="-11"/>
                <w:kern w:val="0"/>
              </w:rPr>
              <w:t>排放</w:t>
            </w:r>
            <w:r>
              <w:rPr>
                <w:rFonts w:hint="default" w:ascii="Times New Roman" w:hAnsi="Times New Roman" w:cs="Times New Roman"/>
                <w:color w:val="000000"/>
                <w:spacing w:val="-11"/>
                <w:kern w:val="0"/>
                <w:sz w:val="20"/>
                <w:szCs w:val="22"/>
              </w:rPr>
              <w:t>浓度，mg/m</w:t>
            </w:r>
            <w:r>
              <w:rPr>
                <w:rFonts w:hint="default" w:ascii="Times New Roman" w:hAnsi="Times New Roman" w:cs="Times New Roman"/>
                <w:color w:val="000000"/>
                <w:spacing w:val="-11"/>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0.361</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0.429</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0.342</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0.429</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lang w:val="en-US" w:eastAsia="zh-CN"/>
              </w:rPr>
              <w:t>6</w:t>
            </w:r>
            <w:r>
              <w:rPr>
                <w:rFonts w:hint="default" w:ascii="Times New Roman" w:hAnsi="Times New Roman" w:eastAsia="经典行楷简" w:cs="Times New Roman"/>
                <w:b/>
                <w:bCs/>
                <w:color w:val="000000"/>
              </w:rPr>
              <w:t>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color w:val="FF0000"/>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sz w:val="20"/>
                <w:szCs w:val="22"/>
              </w:rPr>
              <w:t>乙酸酯类</w:t>
            </w:r>
            <w:r>
              <w:rPr>
                <w:rFonts w:hint="default" w:ascii="Times New Roman" w:hAnsi="Times New Roman" w:cs="Times New Roman"/>
                <w:color w:val="000000"/>
                <w:kern w:val="0"/>
              </w:rPr>
              <w:t>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0.0022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0.0025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0.0021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0.0025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DA022前处理、镀镍线</w:t>
            </w:r>
          </w:p>
          <w:p>
            <w:pPr>
              <w:jc w:val="center"/>
              <w:rPr>
                <w:rFonts w:hint="default" w:ascii="Times New Roman" w:hAnsi="Times New Roman" w:cs="Times New Roman"/>
                <w:color w:val="000000"/>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jc w:val="center"/>
              <w:rPr>
                <w:rFonts w:hint="default" w:ascii="Times New Roman" w:hAnsi="Times New Roman" w:cs="Times New Roman"/>
                <w:color w:val="FF0000"/>
                <w:kern w:val="0"/>
                <w:szCs w:val="21"/>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2.1×10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＜0.22</w:t>
            </w:r>
          </w:p>
        </w:tc>
        <w:tc>
          <w:tcPr>
            <w:tcW w:w="1111"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＜0.22</w:t>
            </w:r>
          </w:p>
        </w:tc>
        <w:tc>
          <w:tcPr>
            <w:tcW w:w="1130" w:type="dxa"/>
            <w:vAlign w:val="center"/>
          </w:tcPr>
          <w:p>
            <w:pPr>
              <w:jc w:val="center"/>
              <w:rPr>
                <w:rFonts w:hint="default" w:ascii="Times New Roman" w:hAnsi="Times New Roman" w:cs="Times New Roman"/>
              </w:rPr>
            </w:pPr>
            <w:r>
              <w:rPr>
                <w:rFonts w:hint="default" w:ascii="Times New Roman" w:hAnsi="Times New Roman" w:eastAsia="宋体" w:cs="Times New Roman"/>
                <w:i w:val="0"/>
                <w:color w:val="000000"/>
                <w:kern w:val="0"/>
                <w:sz w:val="21"/>
                <w:szCs w:val="21"/>
                <w:u w:val="none"/>
                <w:lang w:val="en-US" w:eastAsia="zh-CN" w:bidi="ar"/>
              </w:rPr>
              <w:t>＜0.22</w:t>
            </w:r>
          </w:p>
        </w:tc>
        <w:tc>
          <w:tcPr>
            <w:tcW w:w="981" w:type="dxa"/>
            <w:vAlign w:val="center"/>
          </w:tcPr>
          <w:p>
            <w:pPr>
              <w:jc w:val="center"/>
              <w:rPr>
                <w:rFonts w:hint="default" w:ascii="Times New Roman" w:hAnsi="Times New Roman" w:cs="Times New Roman"/>
                <w:b/>
                <w:bCs/>
              </w:rPr>
            </w:pPr>
            <w:r>
              <w:rPr>
                <w:rFonts w:hint="default" w:ascii="Times New Roman" w:hAnsi="Times New Roman" w:eastAsia="宋体" w:cs="Times New Roman"/>
                <w:b/>
                <w:bCs/>
                <w:i w:val="0"/>
                <w:color w:val="000000"/>
                <w:kern w:val="0"/>
                <w:sz w:val="21"/>
                <w:szCs w:val="21"/>
                <w:u w:val="none"/>
                <w:lang w:val="en-US" w:eastAsia="zh-CN" w:bidi="ar"/>
              </w:rPr>
              <w:t>＜0.22</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＜0.0046</w:t>
            </w:r>
          </w:p>
        </w:tc>
        <w:tc>
          <w:tcPr>
            <w:tcW w:w="1111"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＜0.0046</w:t>
            </w:r>
          </w:p>
        </w:tc>
        <w:tc>
          <w:tcPr>
            <w:tcW w:w="1130" w:type="dxa"/>
            <w:vAlign w:val="center"/>
          </w:tcPr>
          <w:p>
            <w:pPr>
              <w:widowControl/>
              <w:jc w:val="center"/>
              <w:textAlignment w:val="center"/>
              <w:rPr>
                <w:rFonts w:hint="default" w:ascii="Times New Roman" w:hAnsi="Times New Roman" w:cs="Times New Roman"/>
                <w:color w:val="000000"/>
                <w:kern w:val="0"/>
                <w:szCs w:val="21"/>
              </w:rPr>
            </w:pPr>
            <w:r>
              <w:rPr>
                <w:rFonts w:hint="default" w:ascii="Times New Roman" w:hAnsi="Times New Roman" w:eastAsia="宋体" w:cs="Times New Roman"/>
                <w:i w:val="0"/>
                <w:color w:val="000000"/>
                <w:kern w:val="0"/>
                <w:sz w:val="21"/>
                <w:szCs w:val="21"/>
                <w:u w:val="none"/>
                <w:lang w:val="en-US" w:eastAsia="zh-CN" w:bidi="ar"/>
              </w:rPr>
              <w:t>＜0.0046</w:t>
            </w:r>
          </w:p>
        </w:tc>
        <w:tc>
          <w:tcPr>
            <w:tcW w:w="981" w:type="dxa"/>
            <w:vAlign w:val="center"/>
          </w:tcPr>
          <w:p>
            <w:pPr>
              <w:widowControl/>
              <w:jc w:val="center"/>
              <w:textAlignment w:val="center"/>
              <w:rPr>
                <w:rFonts w:hint="default" w:ascii="Times New Roman" w:hAnsi="Times New Roman" w:cs="Times New Roman"/>
                <w:b/>
                <w:bCs/>
                <w:kern w:val="0"/>
                <w:szCs w:val="21"/>
              </w:rPr>
            </w:pPr>
            <w:r>
              <w:rPr>
                <w:rFonts w:hint="default" w:ascii="Times New Roman" w:hAnsi="Times New Roman" w:eastAsia="宋体" w:cs="Times New Roman"/>
                <w:b/>
                <w:bCs/>
                <w:i w:val="0"/>
                <w:color w:val="000000"/>
                <w:kern w:val="0"/>
                <w:sz w:val="21"/>
                <w:szCs w:val="21"/>
                <w:u w:val="none"/>
                <w:lang w:val="en-US" w:eastAsia="zh-CN" w:bidi="ar"/>
              </w:rPr>
              <w:t>＜0.0046</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氯化氢产生浓度，mg/m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5.9</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6.3</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5.6</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5.9</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continue"/>
            <w:vAlign w:val="center"/>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rPr>
              <w:t>氯化氢产生速率，kg/h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0.12</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0.13</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0.12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0.1</w:t>
            </w:r>
            <w:r>
              <w:rPr>
                <w:rFonts w:hint="default" w:ascii="Times New Roman" w:hAnsi="Times New Roman" w:cs="Times New Roman"/>
                <w:b/>
                <w:bCs/>
                <w:i w:val="0"/>
                <w:color w:val="000000"/>
                <w:kern w:val="0"/>
                <w:sz w:val="21"/>
                <w:szCs w:val="21"/>
                <w:u w:val="none"/>
                <w:lang w:val="en-US" w:eastAsia="zh-CN" w:bidi="ar"/>
              </w:rPr>
              <w:t>3</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vAlign w:val="center"/>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cs="Times New Roman"/>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cs="Times New Roman"/>
                <w:kern w:val="0"/>
                <w:sz w:val="20"/>
                <w:szCs w:val="22"/>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2.2×10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i w:val="0"/>
                <w:color w:val="000000"/>
                <w:kern w:val="0"/>
                <w:sz w:val="21"/>
                <w:szCs w:val="21"/>
                <w:u w:val="none"/>
                <w:lang w:val="en-US" w:eastAsia="zh-CN" w:bidi="ar"/>
              </w:rPr>
              <w:t>2.2×10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＜0.22</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＜0.22</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＜0.22</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＜0.22</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＜0.0046</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＜0.0046</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＜0.0048 </w:t>
            </w:r>
          </w:p>
        </w:tc>
        <w:tc>
          <w:tcPr>
            <w:tcW w:w="981" w:type="dxa"/>
            <w:vAlign w:val="center"/>
          </w:tcPr>
          <w:p>
            <w:pPr>
              <w:widowControl/>
              <w:jc w:val="center"/>
              <w:textAlignment w:val="center"/>
              <w:rPr>
                <w:rFonts w:hint="default" w:ascii="Times New Roman" w:hAnsi="Times New Roman" w:cs="Times New Roman"/>
                <w:b/>
                <w:bCs/>
                <w:color w:val="000000"/>
                <w:szCs w:val="21"/>
              </w:rPr>
            </w:pPr>
            <w:r>
              <w:rPr>
                <w:rFonts w:hint="default" w:ascii="Times New Roman" w:hAnsi="Times New Roman" w:eastAsia="宋体" w:cs="Times New Roman"/>
                <w:b/>
                <w:bCs/>
                <w:i w:val="0"/>
                <w:color w:val="000000"/>
                <w:kern w:val="0"/>
                <w:sz w:val="21"/>
                <w:szCs w:val="21"/>
                <w:u w:val="none"/>
                <w:lang w:val="en-US" w:eastAsia="zh-CN" w:bidi="ar"/>
              </w:rPr>
              <w:t xml:space="preserve">＜0.0048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3.1</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3.9</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2.7</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3.9</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cs="Times New Roman"/>
                <w:color w:val="000000"/>
                <w:kern w:val="0"/>
                <w:sz w:val="20"/>
                <w:szCs w:val="22"/>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0.065 </w:t>
            </w:r>
          </w:p>
        </w:tc>
        <w:tc>
          <w:tcPr>
            <w:tcW w:w="1111"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 xml:space="preserve">0.082 </w:t>
            </w:r>
          </w:p>
        </w:tc>
        <w:tc>
          <w:tcPr>
            <w:tcW w:w="1130" w:type="dxa"/>
            <w:vAlign w:val="center"/>
          </w:tcPr>
          <w:p>
            <w:pPr>
              <w:widowControl/>
              <w:jc w:val="center"/>
              <w:textAlignment w:val="center"/>
              <w:rPr>
                <w:rFonts w:hint="default" w:ascii="Times New Roman" w:hAnsi="Times New Roman" w:cs="Times New Roman"/>
                <w:color w:val="000000"/>
                <w:szCs w:val="21"/>
              </w:rPr>
            </w:pPr>
            <w:r>
              <w:rPr>
                <w:rFonts w:hint="default" w:ascii="Times New Roman" w:hAnsi="Times New Roman" w:eastAsia="宋体" w:cs="Times New Roman"/>
                <w:i w:val="0"/>
                <w:color w:val="000000"/>
                <w:kern w:val="0"/>
                <w:sz w:val="21"/>
                <w:szCs w:val="21"/>
                <w:u w:val="none"/>
                <w:lang w:val="en-US" w:eastAsia="zh-CN" w:bidi="ar"/>
              </w:rPr>
              <w:t>0.059</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0.082 </w:t>
            </w:r>
          </w:p>
        </w:tc>
        <w:tc>
          <w:tcPr>
            <w:tcW w:w="578"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DA022前处理、镀镍线</w:t>
            </w:r>
          </w:p>
          <w:p>
            <w:pPr>
              <w:jc w:val="center"/>
              <w:rPr>
                <w:rFonts w:hint="default" w:ascii="Times New Roman" w:hAnsi="Times New Roman" w:cs="Times New Roman"/>
                <w:color w:val="000000"/>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12</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1.9×10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2.0×10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2.0×10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＜0.22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＜0.0042</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＜0.0042</w:t>
            </w:r>
          </w:p>
        </w:tc>
        <w:tc>
          <w:tcPr>
            <w:tcW w:w="1130"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＜0.0042</w:t>
            </w:r>
          </w:p>
        </w:tc>
        <w:tc>
          <w:tcPr>
            <w:tcW w:w="981" w:type="dxa"/>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＜0.0042</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5.7</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6.5</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6.9</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6.9</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0.13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0.14</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0.14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cs="Times New Roman"/>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eastAsia="宋体" w:cs="Times New Roman"/>
                <w:kern w:val="0"/>
                <w:sz w:val="20"/>
                <w:szCs w:val="22"/>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2.1×10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＜0.22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＜0.22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＜0.0046</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＜0.0046</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＜0.0046</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＜0.0046</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2.8</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3.6</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3.6</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0.063</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0.059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0.076</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0.076</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DA019前处理、镀镍线</w:t>
            </w:r>
          </w:p>
          <w:p>
            <w:pPr>
              <w:jc w:val="center"/>
              <w:rPr>
                <w:rFonts w:hint="default" w:ascii="Times New Roman" w:hAnsi="Times New Roman" w:cs="Times New Roman"/>
                <w:color w:val="000000"/>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2.2×10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＜0.23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＜0.0051 </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＜0.0048</w:t>
            </w:r>
          </w:p>
        </w:tc>
        <w:tc>
          <w:tcPr>
            <w:tcW w:w="1130"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＜0.0048</w:t>
            </w:r>
          </w:p>
        </w:tc>
        <w:tc>
          <w:tcPr>
            <w:tcW w:w="981" w:type="dxa"/>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＜0.0051</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7.7</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6.2</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6.7</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7.7</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0.17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0.13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0.14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0.17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eastAsia="宋体" w:cs="Times New Roman"/>
                <w:kern w:val="0"/>
                <w:sz w:val="20"/>
                <w:szCs w:val="22"/>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2.8×10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2.8×10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2.8×10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2.8×10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＜0.18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＜0.0050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＜0.0050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＜0.0050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＜0.0050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3.3</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4.0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3.3</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4.0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0.092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0.11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0.092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0.11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DA019前处理、镀镍线</w:t>
            </w:r>
          </w:p>
          <w:p>
            <w:pPr>
              <w:jc w:val="center"/>
              <w:rPr>
                <w:rFonts w:hint="default" w:ascii="Times New Roman" w:hAnsi="Times New Roman" w:cs="Times New Roman"/>
                <w:color w:val="000000"/>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12</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2.1×10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2.1×10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＜0.23 </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＜0.23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＜0.0048 </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＜0.0048 </w:t>
            </w:r>
          </w:p>
        </w:tc>
        <w:tc>
          <w:tcPr>
            <w:tcW w:w="1130"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＜0.0048 </w:t>
            </w:r>
          </w:p>
        </w:tc>
        <w:tc>
          <w:tcPr>
            <w:tcW w:w="981" w:type="dxa"/>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＜0.0048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7.7</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6.0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7.4</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7.7</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rPr>
              <w:t>氯化氢产生速率，kg/h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0.16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0.13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0.16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0.16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eastAsia="宋体" w:cs="Times New Roman"/>
                <w:kern w:val="0"/>
                <w:sz w:val="20"/>
                <w:szCs w:val="22"/>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2.9×10</w:t>
            </w:r>
            <w:r>
              <w:rPr>
                <w:rFonts w:hint="default" w:ascii="Times New Roman" w:hAnsi="Times New Roman" w:eastAsia="宋体" w:cs="Times New Roman"/>
                <w:i w:val="0"/>
                <w:color w:val="000000"/>
                <w:kern w:val="0"/>
                <w:sz w:val="21"/>
                <w:szCs w:val="21"/>
                <w:u w:val="none"/>
                <w:vertAlign w:val="superscript"/>
                <w:lang w:val="en-US" w:eastAsia="zh-CN" w:bidi="ar"/>
              </w:rPr>
              <w:t>4</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2.9×10</w:t>
            </w:r>
            <w:r>
              <w:rPr>
                <w:rFonts w:hint="default" w:ascii="Times New Roman" w:hAnsi="Times New Roman" w:eastAsia="宋体" w:cs="Times New Roman"/>
                <w:b/>
                <w:bCs/>
                <w:i w:val="0"/>
                <w:color w:val="000000"/>
                <w:kern w:val="0"/>
                <w:sz w:val="21"/>
                <w:szCs w:val="21"/>
                <w:u w:val="none"/>
                <w:vertAlign w:val="superscript"/>
                <w:lang w:val="en-US" w:eastAsia="zh-CN" w:bidi="ar"/>
              </w:rPr>
              <w:t>4</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＜0.18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＜0.18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硫酸雾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＜0.0052</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＜0.0052</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＜0.0052</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＜0.0052</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3.0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2.7</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4.5</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4.5</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30</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0"/>
                <w:szCs w:val="22"/>
                <w:lang w:val="en-US" w:eastAsia="zh-CN" w:bidi="ar-SA"/>
              </w:rPr>
            </w:pPr>
            <w:r>
              <w:rPr>
                <w:rFonts w:hint="default" w:ascii="Times New Roman" w:hAnsi="Times New Roman" w:cs="Times New Roman"/>
                <w:color w:val="000000"/>
                <w:kern w:val="0"/>
              </w:rPr>
              <w:t>氯化氢排放</w:t>
            </w:r>
            <w:r>
              <w:rPr>
                <w:rFonts w:hint="default" w:ascii="Times New Roman" w:hAnsi="Times New Roman" w:cs="Times New Roman"/>
                <w:color w:val="000000"/>
                <w:kern w:val="0"/>
                <w:sz w:val="20"/>
                <w:szCs w:val="22"/>
              </w:rPr>
              <w:t>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0.087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0.078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0.13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 xml:space="preserve">0.13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DA021镀铬线</w:t>
            </w:r>
          </w:p>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3.3×10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3.5×10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3.3×10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3.5×10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0.007</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0.007</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0.005</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0.007</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产生速率，kg/h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2.3×10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2.5×10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30"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1.7×10</w:t>
            </w:r>
            <w:r>
              <w:rPr>
                <w:rFonts w:hint="default" w:ascii="Times New Roman" w:hAnsi="Times New Roman" w:eastAsia="宋体" w:cs="Times New Roman"/>
                <w:i w:val="0"/>
                <w:color w:val="000000"/>
                <w:kern w:val="0"/>
                <w:sz w:val="21"/>
                <w:szCs w:val="21"/>
                <w:u w:val="none"/>
                <w:vertAlign w:val="superscript"/>
                <w:lang w:val="en-US" w:eastAsia="zh-CN" w:bidi="ar"/>
              </w:rPr>
              <w:t>-5</w:t>
            </w:r>
          </w:p>
        </w:tc>
        <w:tc>
          <w:tcPr>
            <w:tcW w:w="981" w:type="dxa"/>
            <w:vAlign w:val="center"/>
          </w:tcPr>
          <w:p>
            <w:pPr>
              <w:widowControl/>
              <w:jc w:val="center"/>
              <w:textAlignment w:val="center"/>
              <w:rPr>
                <w:rFonts w:hint="default" w:ascii="Times New Roman" w:hAnsi="Times New Roman" w:eastAsia="宋体" w:cs="Times New Roman"/>
                <w:b/>
                <w:bCs/>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2.5×10</w:t>
            </w:r>
            <w:r>
              <w:rPr>
                <w:rFonts w:hint="default" w:ascii="Times New Roman" w:hAnsi="Times New Roman" w:eastAsia="宋体" w:cs="Times New Roman"/>
                <w:b/>
                <w:bCs/>
                <w:i w:val="0"/>
                <w:color w:val="000000"/>
                <w:kern w:val="0"/>
                <w:sz w:val="21"/>
                <w:szCs w:val="21"/>
                <w:u w:val="none"/>
                <w:vertAlign w:val="superscript"/>
                <w:lang w:val="en-US" w:eastAsia="zh-CN" w:bidi="ar"/>
              </w:rPr>
              <w:t>-5</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eastAsia="宋体" w:cs="Times New Roman"/>
                <w:kern w:val="0"/>
                <w:sz w:val="20"/>
                <w:szCs w:val="22"/>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7.3×10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7.1×10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7.3×10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＜0.001</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0.003</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＜0.001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lang w:val="en-US" w:eastAsia="zh-CN"/>
              </w:rPr>
              <w:t>0.05</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＜7.2×10</w:t>
            </w:r>
            <w:r>
              <w:rPr>
                <w:rFonts w:hint="default" w:ascii="Times New Roman" w:hAnsi="Times New Roman" w:eastAsia="宋体" w:cs="Times New Roman"/>
                <w:i w:val="0"/>
                <w:color w:val="000000"/>
                <w:kern w:val="0"/>
                <w:sz w:val="21"/>
                <w:szCs w:val="21"/>
                <w:u w:val="none"/>
                <w:vertAlign w:val="superscript"/>
                <w:lang w:val="en-US" w:eastAsia="zh-CN" w:bidi="ar"/>
              </w:rPr>
              <w:t>-6</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＜7.1×10</w:t>
            </w:r>
            <w:r>
              <w:rPr>
                <w:rFonts w:hint="default" w:ascii="Times New Roman" w:hAnsi="Times New Roman" w:eastAsia="宋体" w:cs="Times New Roman"/>
                <w:i w:val="0"/>
                <w:color w:val="000000"/>
                <w:kern w:val="0"/>
                <w:sz w:val="21"/>
                <w:szCs w:val="21"/>
                <w:u w:val="none"/>
                <w:vertAlign w:val="superscript"/>
                <w:lang w:val="en-US" w:eastAsia="zh-CN" w:bidi="ar"/>
              </w:rPr>
              <w:t>-6</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2.2×10</w:t>
            </w:r>
            <w:r>
              <w:rPr>
                <w:rFonts w:hint="default" w:ascii="Times New Roman" w:hAnsi="Times New Roman" w:eastAsia="宋体" w:cs="Times New Roman"/>
                <w:b/>
                <w:bCs/>
                <w:i w:val="0"/>
                <w:color w:val="000000"/>
                <w:kern w:val="0"/>
                <w:sz w:val="21"/>
                <w:szCs w:val="21"/>
                <w:u w:val="none"/>
                <w:vertAlign w:val="superscript"/>
                <w:lang w:val="en-US" w:eastAsia="zh-CN" w:bidi="ar"/>
              </w:rPr>
              <w:t>-5</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restart"/>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DA021镀铬线</w:t>
            </w:r>
          </w:p>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rPr>
              <w:t>水喷淋塔</w:t>
            </w:r>
          </w:p>
          <w:p>
            <w:pPr>
              <w:jc w:val="center"/>
              <w:rPr>
                <w:rFonts w:hint="default" w:ascii="Times New Roman" w:hAnsi="Times New Roman" w:cs="Times New Roman"/>
                <w:color w:val="000000"/>
              </w:rPr>
            </w:pPr>
            <w:r>
              <w:rPr>
                <w:rFonts w:hint="default" w:ascii="Times New Roman" w:hAnsi="Times New Roman" w:cs="Times New Roman"/>
                <w:color w:val="000000"/>
                <w:lang w:val="en-US" w:eastAsia="zh-CN"/>
              </w:rPr>
              <w:t>11</w:t>
            </w:r>
            <w:r>
              <w:rPr>
                <w:rFonts w:hint="default" w:ascii="Times New Roman" w:hAnsi="Times New Roman" w:cs="Times New Roman"/>
                <w:color w:val="000000"/>
              </w:rPr>
              <w:t>月</w:t>
            </w:r>
          </w:p>
          <w:p>
            <w:pPr>
              <w:jc w:val="center"/>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12</w:t>
            </w:r>
            <w:r>
              <w:rPr>
                <w:rFonts w:hint="default" w:ascii="Times New Roman" w:hAnsi="Times New Roman" w:cs="Times New Roman"/>
                <w:color w:val="000000"/>
              </w:rPr>
              <w:t>日</w:t>
            </w:r>
          </w:p>
        </w:tc>
        <w:tc>
          <w:tcPr>
            <w:tcW w:w="506" w:type="dxa"/>
            <w:vMerge w:val="restart"/>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t>净化前</w:t>
            </w: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widowControl/>
              <w:jc w:val="center"/>
              <w:textAlignment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3.3×10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3.5×10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jc w:val="center"/>
              <w:rPr>
                <w:rFonts w:hint="default" w:ascii="Times New Roman" w:hAnsi="Times New Roman" w:eastAsia="宋体" w:cs="Times New Roman"/>
                <w:color w:val="FF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3.5×10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3.5×10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产生浓度，mg/m</w:t>
            </w:r>
            <w:r>
              <w:rPr>
                <w:rFonts w:hint="default" w:ascii="Times New Roman" w:hAnsi="Times New Roman" w:cs="Times New Roman"/>
                <w:color w:val="000000"/>
                <w:kern w:val="0"/>
                <w:sz w:val="20"/>
                <w:szCs w:val="22"/>
                <w:vertAlign w:val="superscript"/>
              </w:rPr>
              <w:t>3</w:t>
            </w:r>
          </w:p>
        </w:tc>
        <w:tc>
          <w:tcPr>
            <w:tcW w:w="115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0.010 </w:t>
            </w:r>
          </w:p>
        </w:tc>
        <w:tc>
          <w:tcPr>
            <w:tcW w:w="1111"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0.009</w:t>
            </w:r>
          </w:p>
        </w:tc>
        <w:tc>
          <w:tcPr>
            <w:tcW w:w="1130" w:type="dxa"/>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0.005</w:t>
            </w:r>
          </w:p>
        </w:tc>
        <w:tc>
          <w:tcPr>
            <w:tcW w:w="981" w:type="dxa"/>
            <w:vAlign w:val="center"/>
          </w:tcPr>
          <w:p>
            <w:pPr>
              <w:jc w:val="center"/>
              <w:rPr>
                <w:rFonts w:hint="default" w:ascii="Times New Roman" w:hAnsi="Times New Roman" w:eastAsia="宋体" w:cs="Times New Roman"/>
                <w:b/>
                <w:bCs/>
                <w:kern w:val="2"/>
                <w:sz w:val="21"/>
                <w:szCs w:val="24"/>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0.009</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产生速率，kg/h</w:t>
            </w:r>
          </w:p>
        </w:tc>
        <w:tc>
          <w:tcPr>
            <w:tcW w:w="115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3.3×10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11"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3.2×10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30" w:type="dxa"/>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1.8×10</w:t>
            </w:r>
            <w:r>
              <w:rPr>
                <w:rFonts w:hint="default" w:ascii="Times New Roman" w:hAnsi="Times New Roman" w:eastAsia="宋体" w:cs="Times New Roman"/>
                <w:i w:val="0"/>
                <w:color w:val="000000"/>
                <w:kern w:val="0"/>
                <w:sz w:val="21"/>
                <w:szCs w:val="21"/>
                <w:u w:val="none"/>
                <w:vertAlign w:val="superscript"/>
                <w:lang w:val="en-US" w:eastAsia="zh-CN" w:bidi="ar"/>
              </w:rPr>
              <w:t>-5</w:t>
            </w:r>
          </w:p>
        </w:tc>
        <w:tc>
          <w:tcPr>
            <w:tcW w:w="981" w:type="dxa"/>
            <w:vAlign w:val="center"/>
          </w:tcPr>
          <w:p>
            <w:pPr>
              <w:widowControl/>
              <w:jc w:val="center"/>
              <w:textAlignment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3.2×10</w:t>
            </w:r>
            <w:r>
              <w:rPr>
                <w:rFonts w:hint="default" w:ascii="Times New Roman" w:hAnsi="Times New Roman" w:eastAsia="宋体" w:cs="Times New Roman"/>
                <w:b/>
                <w:bCs/>
                <w:i w:val="0"/>
                <w:color w:val="000000"/>
                <w:kern w:val="0"/>
                <w:sz w:val="21"/>
                <w:szCs w:val="21"/>
                <w:u w:val="none"/>
                <w:vertAlign w:val="superscript"/>
                <w:lang w:val="en-US" w:eastAsia="zh-CN" w:bidi="ar"/>
              </w:rPr>
              <w:t>-5</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restart"/>
            <w:vAlign w:val="center"/>
          </w:tcPr>
          <w:p>
            <w:pPr>
              <w:jc w:val="center"/>
              <w:rPr>
                <w:rFonts w:hint="default" w:ascii="Times New Roman" w:hAnsi="Times New Roman" w:cs="Times New Roman"/>
              </w:rPr>
            </w:pPr>
            <w:r>
              <w:rPr>
                <w:rFonts w:hint="default" w:ascii="Times New Roman" w:hAnsi="Times New Roman" w:cs="Times New Roman"/>
              </w:rPr>
              <w:t>净化后排气筒</w:t>
            </w:r>
          </w:p>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color w:val="000000"/>
                <w:spacing w:val="-20"/>
              </w:rPr>
              <w:t>(</w:t>
            </w:r>
            <w:r>
              <w:rPr>
                <w:rFonts w:hint="default" w:ascii="Times New Roman" w:hAnsi="Times New Roman" w:cs="Times New Roman"/>
                <w:color w:val="000000"/>
                <w:spacing w:val="-20"/>
                <w:lang w:val="en-US" w:eastAsia="zh-CN"/>
              </w:rPr>
              <w:t>26</w:t>
            </w:r>
            <w:r>
              <w:rPr>
                <w:rFonts w:hint="default" w:ascii="Times New Roman" w:hAnsi="Times New Roman" w:cs="Times New Roman"/>
                <w:color w:val="000000"/>
                <w:spacing w:val="-20"/>
              </w:rPr>
              <w:t>m)</w:t>
            </w:r>
          </w:p>
        </w:tc>
        <w:tc>
          <w:tcPr>
            <w:tcW w:w="2235" w:type="dxa"/>
            <w:vAlign w:val="center"/>
          </w:tcPr>
          <w:p>
            <w:pPr>
              <w:widowControl/>
              <w:rPr>
                <w:rFonts w:hint="default" w:ascii="Times New Roman" w:hAnsi="Times New Roman" w:eastAsia="宋体" w:cs="Times New Roman"/>
                <w:kern w:val="0"/>
                <w:sz w:val="20"/>
                <w:szCs w:val="22"/>
                <w:lang w:val="en-US" w:eastAsia="zh-CN" w:bidi="ar-SA"/>
              </w:rPr>
            </w:pPr>
            <w:r>
              <w:rPr>
                <w:rFonts w:hint="default" w:ascii="Times New Roman" w:hAnsi="Times New Roman" w:cs="Times New Roman"/>
                <w:color w:val="000000"/>
                <w:kern w:val="0"/>
              </w:rPr>
              <w:t>标态干烟气量，m</w:t>
            </w:r>
            <w:r>
              <w:rPr>
                <w:rFonts w:hint="default" w:ascii="Times New Roman" w:hAnsi="Times New Roman" w:cs="Times New Roman"/>
                <w:color w:val="000000"/>
                <w:kern w:val="0"/>
                <w:vertAlign w:val="superscript"/>
              </w:rPr>
              <w:t>3</w:t>
            </w:r>
            <w:r>
              <w:rPr>
                <w:rFonts w:hint="default" w:ascii="Times New Roman" w:hAnsi="Times New Roman" w:cs="Times New Roman"/>
                <w:color w:val="000000"/>
                <w:kern w:val="0"/>
              </w:rPr>
              <w:t>/h</w:t>
            </w:r>
          </w:p>
        </w:tc>
        <w:tc>
          <w:tcPr>
            <w:tcW w:w="115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7.0×10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7.0×10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7.2×10</w:t>
            </w:r>
            <w:r>
              <w:rPr>
                <w:rFonts w:hint="default" w:ascii="Times New Roman" w:hAnsi="Times New Roman" w:eastAsia="宋体" w:cs="Times New Roman"/>
                <w:i w:val="0"/>
                <w:color w:val="000000"/>
                <w:kern w:val="0"/>
                <w:sz w:val="21"/>
                <w:szCs w:val="21"/>
                <w:u w:val="none"/>
                <w:vertAlign w:val="superscript"/>
                <w:lang w:val="en-US" w:eastAsia="zh-CN" w:bidi="ar"/>
              </w:rPr>
              <w:t>3</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7.2×10</w:t>
            </w:r>
            <w:r>
              <w:rPr>
                <w:rFonts w:hint="default" w:ascii="Times New Roman" w:hAnsi="Times New Roman" w:eastAsia="宋体" w:cs="Times New Roman"/>
                <w:b/>
                <w:bCs/>
                <w:i w:val="0"/>
                <w:color w:val="000000"/>
                <w:kern w:val="0"/>
                <w:sz w:val="21"/>
                <w:szCs w:val="21"/>
                <w:u w:val="none"/>
                <w:vertAlign w:val="superscript"/>
                <w:lang w:val="en-US" w:eastAsia="zh-CN" w:bidi="ar"/>
              </w:rPr>
              <w:t>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排放浓度，mg/m</w:t>
            </w:r>
            <w:r>
              <w:rPr>
                <w:rFonts w:hint="default" w:ascii="Times New Roman" w:hAnsi="Times New Roman" w:cs="Times New Roman"/>
                <w:color w:val="000000"/>
                <w:kern w:val="0"/>
                <w:sz w:val="20"/>
                <w:szCs w:val="22"/>
                <w:vertAlign w:val="superscript"/>
              </w:rPr>
              <w:t>3</w:t>
            </w:r>
          </w:p>
        </w:tc>
        <w:tc>
          <w:tcPr>
            <w:tcW w:w="115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 xml:space="preserve">＜0.001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＜0.001</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0.003</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0.003</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lang w:val="en-US" w:eastAsia="zh-CN"/>
              </w:rPr>
              <w:t>0.05</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836" w:type="dxa"/>
            <w:vMerge w:val="continue"/>
          </w:tcPr>
          <w:p>
            <w:pPr>
              <w:jc w:val="center"/>
              <w:rPr>
                <w:rFonts w:hint="default" w:ascii="Times New Roman" w:hAnsi="Times New Roman" w:cs="Times New Roman"/>
                <w:color w:val="FF0000"/>
              </w:rPr>
            </w:pPr>
          </w:p>
        </w:tc>
        <w:tc>
          <w:tcPr>
            <w:tcW w:w="506" w:type="dxa"/>
            <w:vMerge w:val="continue"/>
          </w:tcPr>
          <w:p>
            <w:pPr>
              <w:jc w:val="center"/>
              <w:rPr>
                <w:rFonts w:hint="default" w:ascii="Times New Roman" w:hAnsi="Times New Roman" w:cs="Times New Roman"/>
              </w:rPr>
            </w:pPr>
          </w:p>
        </w:tc>
        <w:tc>
          <w:tcPr>
            <w:tcW w:w="2235" w:type="dxa"/>
            <w:vAlign w:val="center"/>
          </w:tcPr>
          <w:p>
            <w:pPr>
              <w:widowControl/>
              <w:jc w:val="left"/>
              <w:rPr>
                <w:rFonts w:hint="default" w:ascii="Times New Roman" w:hAnsi="Times New Roman" w:eastAsia="宋体" w:cs="Times New Roman"/>
                <w:color w:val="000000"/>
                <w:kern w:val="0"/>
                <w:sz w:val="21"/>
                <w:szCs w:val="24"/>
                <w:lang w:val="en-US" w:eastAsia="zh-CN" w:bidi="ar-SA"/>
              </w:rPr>
            </w:pPr>
            <w:r>
              <w:rPr>
                <w:rFonts w:hint="default" w:ascii="Times New Roman" w:hAnsi="Times New Roman" w:cs="Times New Roman"/>
                <w:color w:val="000000"/>
                <w:kern w:val="0"/>
                <w:sz w:val="20"/>
                <w:szCs w:val="22"/>
                <w:lang w:eastAsia="zh-CN"/>
              </w:rPr>
              <w:t>铬酸雾</w:t>
            </w:r>
            <w:r>
              <w:rPr>
                <w:rFonts w:hint="default" w:ascii="Times New Roman" w:hAnsi="Times New Roman" w:cs="Times New Roman"/>
                <w:color w:val="000000"/>
                <w:kern w:val="0"/>
                <w:sz w:val="20"/>
                <w:szCs w:val="22"/>
              </w:rPr>
              <w:t>排放速率，kg/h</w:t>
            </w:r>
          </w:p>
        </w:tc>
        <w:tc>
          <w:tcPr>
            <w:tcW w:w="1154"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＜7.0×10</w:t>
            </w:r>
            <w:r>
              <w:rPr>
                <w:rFonts w:hint="default" w:ascii="Times New Roman" w:hAnsi="Times New Roman" w:eastAsia="宋体" w:cs="Times New Roman"/>
                <w:i w:val="0"/>
                <w:color w:val="000000"/>
                <w:kern w:val="0"/>
                <w:sz w:val="21"/>
                <w:szCs w:val="21"/>
                <w:u w:val="none"/>
                <w:vertAlign w:val="superscript"/>
                <w:lang w:val="en-US" w:eastAsia="zh-CN" w:bidi="ar"/>
              </w:rPr>
              <w:t>-6</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11"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＜7.0×10</w:t>
            </w:r>
            <w:r>
              <w:rPr>
                <w:rFonts w:hint="default" w:ascii="Times New Roman" w:hAnsi="Times New Roman" w:eastAsia="宋体" w:cs="Times New Roman"/>
                <w:i w:val="0"/>
                <w:color w:val="000000"/>
                <w:kern w:val="0"/>
                <w:sz w:val="21"/>
                <w:szCs w:val="21"/>
                <w:u w:val="none"/>
                <w:vertAlign w:val="superscript"/>
                <w:lang w:val="en-US" w:eastAsia="zh-CN" w:bidi="ar"/>
              </w:rPr>
              <w:t>-6</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1130" w:type="dxa"/>
            <w:vAlign w:val="center"/>
          </w:tcPr>
          <w:p>
            <w:pPr>
              <w:widowControl/>
              <w:jc w:val="center"/>
              <w:textAlignment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i w:val="0"/>
                <w:color w:val="000000"/>
                <w:kern w:val="0"/>
                <w:sz w:val="21"/>
                <w:szCs w:val="21"/>
                <w:u w:val="none"/>
                <w:lang w:val="en-US" w:eastAsia="zh-CN" w:bidi="ar"/>
              </w:rPr>
              <w:t>2.2×10</w:t>
            </w:r>
            <w:r>
              <w:rPr>
                <w:rFonts w:hint="default" w:ascii="Times New Roman" w:hAnsi="Times New Roman" w:eastAsia="宋体" w:cs="Times New Roman"/>
                <w:i w:val="0"/>
                <w:color w:val="000000"/>
                <w:kern w:val="0"/>
                <w:sz w:val="21"/>
                <w:szCs w:val="21"/>
                <w:u w:val="none"/>
                <w:vertAlign w:val="superscript"/>
                <w:lang w:val="en-US" w:eastAsia="zh-CN" w:bidi="ar"/>
              </w:rPr>
              <w:t>-5</w:t>
            </w:r>
            <w:r>
              <w:rPr>
                <w:rFonts w:hint="default" w:ascii="Times New Roman" w:hAnsi="Times New Roman" w:eastAsia="宋体" w:cs="Times New Roman"/>
                <w:i w:val="0"/>
                <w:color w:val="000000"/>
                <w:kern w:val="0"/>
                <w:sz w:val="21"/>
                <w:szCs w:val="21"/>
                <w:u w:val="none"/>
                <w:lang w:val="en-US" w:eastAsia="zh-CN" w:bidi="ar"/>
              </w:rPr>
              <w:t xml:space="preserve"> </w:t>
            </w:r>
          </w:p>
        </w:tc>
        <w:tc>
          <w:tcPr>
            <w:tcW w:w="981" w:type="dxa"/>
            <w:vAlign w:val="center"/>
          </w:tcPr>
          <w:p>
            <w:pPr>
              <w:widowControl/>
              <w:jc w:val="center"/>
              <w:textAlignment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i w:val="0"/>
                <w:color w:val="000000"/>
                <w:kern w:val="0"/>
                <w:sz w:val="21"/>
                <w:szCs w:val="21"/>
                <w:u w:val="none"/>
                <w:lang w:val="en-US" w:eastAsia="zh-CN" w:bidi="ar"/>
              </w:rPr>
              <w:t>2.2×10</w:t>
            </w:r>
            <w:r>
              <w:rPr>
                <w:rFonts w:hint="default" w:ascii="Times New Roman" w:hAnsi="Times New Roman" w:eastAsia="宋体" w:cs="Times New Roman"/>
                <w:b/>
                <w:bCs/>
                <w:i w:val="0"/>
                <w:color w:val="000000"/>
                <w:kern w:val="0"/>
                <w:sz w:val="21"/>
                <w:szCs w:val="21"/>
                <w:u w:val="none"/>
                <w:vertAlign w:val="superscript"/>
                <w:lang w:val="en-US" w:eastAsia="zh-CN" w:bidi="ar"/>
              </w:rPr>
              <w:t>-5</w:t>
            </w:r>
            <w:r>
              <w:rPr>
                <w:rFonts w:hint="default" w:ascii="Times New Roman" w:hAnsi="Times New Roman" w:eastAsia="宋体" w:cs="Times New Roman"/>
                <w:b/>
                <w:bCs/>
                <w:i w:val="0"/>
                <w:color w:val="000000"/>
                <w:kern w:val="0"/>
                <w:sz w:val="21"/>
                <w:szCs w:val="21"/>
                <w:u w:val="none"/>
                <w:lang w:val="en-US" w:eastAsia="zh-CN" w:bidi="ar"/>
              </w:rPr>
              <w:t xml:space="preserve"> </w:t>
            </w:r>
          </w:p>
        </w:tc>
        <w:tc>
          <w:tcPr>
            <w:tcW w:w="578"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c>
          <w:tcPr>
            <w:tcW w:w="541" w:type="dxa"/>
            <w:vAlign w:val="center"/>
          </w:tcPr>
          <w:p>
            <w:pPr>
              <w:jc w:val="center"/>
              <w:rPr>
                <w:rFonts w:hint="default" w:ascii="Times New Roman" w:hAnsi="Times New Roman" w:eastAsia="经典行楷简" w:cs="Times New Roman"/>
                <w:b/>
                <w:bCs/>
                <w:color w:val="000000"/>
                <w:kern w:val="2"/>
                <w:sz w:val="21"/>
                <w:szCs w:val="24"/>
                <w:lang w:val="en-US" w:eastAsia="zh-CN" w:bidi="ar-SA"/>
              </w:rPr>
            </w:pPr>
            <w:r>
              <w:rPr>
                <w:rFonts w:hint="default" w:ascii="Times New Roman" w:hAnsi="Times New Roman" w:eastAsia="经典行楷简" w:cs="Times New Roman"/>
                <w:b/>
                <w:bCs/>
                <w:color w:val="000000"/>
              </w:rPr>
              <w:t>——</w:t>
            </w:r>
          </w:p>
        </w:tc>
      </w:tr>
    </w:tbl>
    <w:p>
      <w:pPr>
        <w:pStyle w:val="16"/>
        <w:ind w:left="0" w:leftChars="0" w:firstLine="0" w:firstLineChars="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注：</w:t>
      </w:r>
      <w:r>
        <w:rPr>
          <w:rFonts w:hint="default" w:ascii="Times New Roman" w:hAnsi="Times New Roman" w:cs="Times New Roman"/>
          <w:sz w:val="21"/>
          <w:szCs w:val="21"/>
        </w:rPr>
        <w:t>以上监测数据引自XH(HJ)-20</w:t>
      </w:r>
      <w:r>
        <w:rPr>
          <w:rFonts w:hint="eastAsia" w:ascii="Times New Roman" w:hAnsi="Times New Roman" w:cs="Times New Roman"/>
          <w:sz w:val="21"/>
          <w:szCs w:val="21"/>
          <w:lang w:val="en-US" w:eastAsia="zh-CN"/>
        </w:rPr>
        <w:t>11243</w:t>
      </w:r>
      <w:r>
        <w:rPr>
          <w:rFonts w:hint="default" w:ascii="Times New Roman" w:hAnsi="Times New Roman" w:cs="Times New Roman"/>
          <w:sz w:val="21"/>
          <w:szCs w:val="21"/>
        </w:rPr>
        <w:t>号检验检测报告</w:t>
      </w:r>
      <w:r>
        <w:rPr>
          <w:rFonts w:hint="default" w:ascii="Times New Roman" w:hAnsi="Times New Roman" w:cs="Times New Roman"/>
          <w:color w:val="000000"/>
          <w:sz w:val="21"/>
          <w:szCs w:val="21"/>
        </w:rPr>
        <w:t>。</w:t>
      </w:r>
    </w:p>
    <w:p>
      <w:pPr>
        <w:pStyle w:val="16"/>
        <w:snapToGrid/>
        <w:ind w:firstLine="560"/>
        <w:rPr>
          <w:rFonts w:hint="default" w:ascii="Times New Roman" w:hAnsi="Times New Roman" w:cs="Times New Roman"/>
        </w:rPr>
      </w:pPr>
      <w:r>
        <w:rPr>
          <w:rFonts w:hint="default" w:ascii="Times New Roman" w:hAnsi="Times New Roman" w:cs="Times New Roman"/>
        </w:rPr>
        <w:t>主要污染因子的年排放量</w:t>
      </w:r>
    </w:p>
    <w:p>
      <w:pPr>
        <w:tabs>
          <w:tab w:val="left" w:pos="180"/>
        </w:tabs>
        <w:spacing w:line="360" w:lineRule="auto"/>
        <w:ind w:firstLine="560" w:firstLineChars="20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kern w:val="0"/>
          <w:sz w:val="28"/>
          <w:szCs w:val="28"/>
          <w:lang w:eastAsia="zh-CN"/>
          <w14:textFill>
            <w14:solidFill>
              <w14:schemeClr w14:val="tx1"/>
            </w14:solidFill>
          </w14:textFill>
        </w:rPr>
        <w:t>11月11日、12日</w:t>
      </w:r>
      <w:r>
        <w:rPr>
          <w:rFonts w:hint="default" w:ascii="Times New Roman" w:hAnsi="Times New Roman" w:cs="Times New Roman"/>
          <w:color w:val="000000" w:themeColor="text1"/>
          <w:kern w:val="0"/>
          <w:sz w:val="28"/>
          <w:szCs w:val="28"/>
          <w14:textFill>
            <w14:solidFill>
              <w14:schemeClr w14:val="tx1"/>
            </w14:solidFill>
          </w14:textFill>
        </w:rPr>
        <w:t>监测期间</w:t>
      </w:r>
      <w:r>
        <w:rPr>
          <w:rFonts w:hint="default" w:ascii="Times New Roman" w:hAnsi="Times New Roman" w:cs="Times New Roman"/>
          <w:color w:val="000000" w:themeColor="text1"/>
          <w:spacing w:val="-40"/>
          <w:kern w:val="0"/>
          <w:sz w:val="28"/>
          <w:szCs w:val="28"/>
          <w14:textFill>
            <w14:solidFill>
              <w14:schemeClr w14:val="tx1"/>
            </w14:solidFill>
          </w14:textFill>
        </w:rPr>
        <w:t>，</w:t>
      </w:r>
      <w:r>
        <w:rPr>
          <w:rFonts w:hint="default" w:ascii="Times New Roman" w:hAnsi="Times New Roman" w:cs="Times New Roman"/>
          <w:color w:val="000000" w:themeColor="text1"/>
          <w:kern w:val="0"/>
          <w:sz w:val="28"/>
          <w:szCs w:val="28"/>
          <w14:textFill>
            <w14:solidFill>
              <w14:schemeClr w14:val="tx1"/>
            </w14:solidFill>
          </w14:textFill>
        </w:rPr>
        <w:t>企业废气</w:t>
      </w:r>
      <w:r>
        <w:rPr>
          <w:rFonts w:hint="eastAsia" w:cs="Times New Roman"/>
          <w:color w:val="000000" w:themeColor="text1"/>
          <w:kern w:val="0"/>
          <w:sz w:val="28"/>
          <w:szCs w:val="28"/>
          <w:lang w:eastAsia="zh-CN"/>
          <w14:textFill>
            <w14:solidFill>
              <w14:schemeClr w14:val="tx1"/>
            </w14:solidFill>
          </w14:textFill>
        </w:rPr>
        <w:t>主要污染物</w:t>
      </w:r>
      <w:r>
        <w:rPr>
          <w:rFonts w:hint="default" w:ascii="Times New Roman" w:hAnsi="Times New Roman" w:cs="Times New Roman"/>
          <w:color w:val="000000" w:themeColor="text1"/>
          <w:kern w:val="0"/>
          <w:sz w:val="28"/>
          <w:szCs w:val="28"/>
          <w14:textFill>
            <w14:solidFill>
              <w14:schemeClr w14:val="tx1"/>
            </w14:solidFill>
          </w14:textFill>
        </w:rPr>
        <w:t>排放速率为VOCs0.0</w:t>
      </w:r>
      <w:r>
        <w:rPr>
          <w:rFonts w:hint="eastAsia" w:cs="Times New Roman"/>
          <w:color w:val="000000" w:themeColor="text1"/>
          <w:kern w:val="0"/>
          <w:sz w:val="28"/>
          <w:szCs w:val="28"/>
          <w:lang w:val="en-US" w:eastAsia="zh-CN"/>
          <w14:textFill>
            <w14:solidFill>
              <w14:schemeClr w14:val="tx1"/>
            </w14:solidFill>
          </w14:textFill>
        </w:rPr>
        <w:t>086</w:t>
      </w:r>
      <w:r>
        <w:rPr>
          <w:rFonts w:hint="default" w:ascii="Times New Roman" w:hAnsi="Times New Roman" w:cs="Times New Roman"/>
          <w:color w:val="000000" w:themeColor="text1"/>
          <w:kern w:val="0"/>
          <w:sz w:val="28"/>
          <w:szCs w:val="28"/>
          <w14:textFill>
            <w14:solidFill>
              <w14:schemeClr w14:val="tx1"/>
            </w14:solidFill>
          </w14:textFill>
        </w:rPr>
        <w:t>kg/h</w:t>
      </w:r>
      <w:r>
        <w:rPr>
          <w:rFonts w:hint="eastAsia" w:cs="Times New Roman"/>
          <w:color w:val="000000" w:themeColor="text1"/>
          <w:kern w:val="0"/>
          <w:sz w:val="28"/>
          <w:szCs w:val="28"/>
          <w:lang w:eastAsia="zh-CN"/>
          <w14:textFill>
            <w14:solidFill>
              <w14:schemeClr w14:val="tx1"/>
            </w14:solidFill>
          </w14:textFill>
        </w:rPr>
        <w:t>、氯化氢</w:t>
      </w:r>
      <w:r>
        <w:rPr>
          <w:rFonts w:hint="eastAsia" w:cs="Times New Roman"/>
          <w:color w:val="000000" w:themeColor="text1"/>
          <w:kern w:val="0"/>
          <w:sz w:val="28"/>
          <w:szCs w:val="28"/>
          <w:lang w:val="en-US" w:eastAsia="zh-CN"/>
          <w14:textFill>
            <w14:solidFill>
              <w14:schemeClr w14:val="tx1"/>
            </w14:solidFill>
          </w14:textFill>
        </w:rPr>
        <w:t>0.168</w:t>
      </w:r>
      <w:r>
        <w:rPr>
          <w:rFonts w:hint="default" w:ascii="Times New Roman" w:hAnsi="Times New Roman" w:cs="Times New Roman"/>
          <w:color w:val="000000" w:themeColor="text1"/>
          <w:kern w:val="0"/>
          <w:sz w:val="28"/>
          <w:szCs w:val="28"/>
          <w14:textFill>
            <w14:solidFill>
              <w14:schemeClr w14:val="tx1"/>
            </w14:solidFill>
          </w14:textFill>
        </w:rPr>
        <w:t>kg/h。项目每日工作按</w:t>
      </w:r>
      <w:r>
        <w:rPr>
          <w:rFonts w:hint="eastAsia" w:cs="Times New Roman"/>
          <w:color w:val="000000" w:themeColor="text1"/>
          <w:kern w:val="0"/>
          <w:sz w:val="28"/>
          <w:szCs w:val="28"/>
          <w:lang w:val="en-US" w:eastAsia="zh-CN"/>
          <w14:textFill>
            <w14:solidFill>
              <w14:schemeClr w14:val="tx1"/>
            </w14:solidFill>
          </w14:textFill>
        </w:rPr>
        <w:t>9</w:t>
      </w:r>
      <w:r>
        <w:rPr>
          <w:rFonts w:hint="default" w:ascii="Times New Roman" w:hAnsi="Times New Roman" w:cs="Times New Roman"/>
          <w:color w:val="000000" w:themeColor="text1"/>
          <w:kern w:val="0"/>
          <w:sz w:val="28"/>
          <w:szCs w:val="28"/>
          <w14:textFill>
            <w14:solidFill>
              <w14:schemeClr w14:val="tx1"/>
            </w14:solidFill>
          </w14:textFill>
        </w:rPr>
        <w:t>小时计，年工作3</w:t>
      </w:r>
      <w:r>
        <w:rPr>
          <w:rFonts w:hint="eastAsia" w:cs="Times New Roman"/>
          <w:color w:val="000000" w:themeColor="text1"/>
          <w:kern w:val="0"/>
          <w:sz w:val="28"/>
          <w:szCs w:val="28"/>
          <w:lang w:val="en-US" w:eastAsia="zh-CN"/>
          <w14:textFill>
            <w14:solidFill>
              <w14:schemeClr w14:val="tx1"/>
            </w14:solidFill>
          </w14:textFill>
        </w:rPr>
        <w:t>24</w:t>
      </w:r>
      <w:r>
        <w:rPr>
          <w:rFonts w:hint="default" w:ascii="Times New Roman" w:hAnsi="Times New Roman" w:cs="Times New Roman"/>
          <w:color w:val="000000" w:themeColor="text1"/>
          <w:kern w:val="0"/>
          <w:sz w:val="28"/>
          <w:szCs w:val="28"/>
          <w14:textFill>
            <w14:solidFill>
              <w14:schemeClr w14:val="tx1"/>
            </w14:solidFill>
          </w14:textFill>
        </w:rPr>
        <w:t>天计，则废气年排放量VOCs</w:t>
      </w:r>
      <w:r>
        <w:rPr>
          <w:rFonts w:hint="eastAsia" w:cs="Times New Roman"/>
          <w:color w:val="000000" w:themeColor="text1"/>
          <w:kern w:val="0"/>
          <w:sz w:val="28"/>
          <w:szCs w:val="28"/>
          <w:lang w:eastAsia="zh-CN"/>
          <w14:textFill>
            <w14:solidFill>
              <w14:schemeClr w14:val="tx1"/>
            </w14:solidFill>
          </w14:textFill>
        </w:rPr>
        <w:t>（</w:t>
      </w:r>
      <w:r>
        <w:rPr>
          <w:rFonts w:hint="eastAsia" w:cs="Times New Roman"/>
          <w:color w:val="000000" w:themeColor="text1"/>
          <w:kern w:val="0"/>
          <w:sz w:val="28"/>
          <w:szCs w:val="28"/>
          <w:lang w:val="en-US" w:eastAsia="zh-CN"/>
          <w14:textFill>
            <w14:solidFill>
              <w14:schemeClr w14:val="tx1"/>
            </w14:solidFill>
          </w14:textFill>
        </w:rPr>
        <w:t>DA027喷漆车间</w:t>
      </w:r>
      <w:r>
        <w:rPr>
          <w:rFonts w:hint="eastAsia" w:cs="Times New Roman"/>
          <w:color w:val="000000" w:themeColor="text1"/>
          <w:kern w:val="0"/>
          <w:sz w:val="28"/>
          <w:szCs w:val="28"/>
          <w:lang w:eastAsia="zh-CN"/>
          <w14:textFill>
            <w14:solidFill>
              <w14:schemeClr w14:val="tx1"/>
            </w14:solidFill>
          </w14:textFill>
        </w:rPr>
        <w:t>）</w:t>
      </w:r>
      <w:r>
        <w:rPr>
          <w:rFonts w:hint="default" w:ascii="Times New Roman" w:hAnsi="Times New Roman" w:cs="Times New Roman"/>
          <w:color w:val="000000" w:themeColor="text1"/>
          <w:kern w:val="0"/>
          <w:sz w:val="28"/>
          <w:szCs w:val="28"/>
          <w14:textFill>
            <w14:solidFill>
              <w14:schemeClr w14:val="tx1"/>
            </w14:solidFill>
          </w14:textFill>
        </w:rPr>
        <w:t>为0.0</w:t>
      </w:r>
      <w:r>
        <w:rPr>
          <w:rFonts w:hint="eastAsia" w:cs="Times New Roman"/>
          <w:color w:val="000000" w:themeColor="text1"/>
          <w:kern w:val="0"/>
          <w:sz w:val="28"/>
          <w:szCs w:val="28"/>
          <w:lang w:val="en-US" w:eastAsia="zh-CN"/>
          <w14:textFill>
            <w14:solidFill>
              <w14:schemeClr w14:val="tx1"/>
            </w14:solidFill>
          </w14:textFill>
        </w:rPr>
        <w:t>22</w:t>
      </w:r>
      <w:r>
        <w:rPr>
          <w:rFonts w:hint="default" w:ascii="Times New Roman" w:hAnsi="Times New Roman" w:cs="Times New Roman"/>
          <w:color w:val="000000" w:themeColor="text1"/>
          <w:kern w:val="0"/>
          <w:sz w:val="28"/>
          <w:szCs w:val="28"/>
          <w14:textFill>
            <w14:solidFill>
              <w14:schemeClr w14:val="tx1"/>
            </w14:solidFill>
          </w14:textFill>
        </w:rPr>
        <w:t>t/a</w:t>
      </w:r>
      <w:r>
        <w:rPr>
          <w:rFonts w:hint="eastAsia" w:cs="Times New Roman"/>
          <w:color w:val="000000" w:themeColor="text1"/>
          <w:kern w:val="0"/>
          <w:sz w:val="28"/>
          <w:szCs w:val="28"/>
          <w:lang w:eastAsia="zh-CN"/>
          <w14:textFill>
            <w14:solidFill>
              <w14:schemeClr w14:val="tx1"/>
            </w14:solidFill>
          </w14:textFill>
        </w:rPr>
        <w:t>、氯化氢</w:t>
      </w:r>
      <w:r>
        <w:rPr>
          <w:rFonts w:hint="eastAsia" w:cs="Times New Roman"/>
          <w:color w:val="000000" w:themeColor="text1"/>
          <w:kern w:val="0"/>
          <w:sz w:val="28"/>
          <w:szCs w:val="28"/>
          <w:lang w:val="en-US" w:eastAsia="zh-CN"/>
          <w14:textFill>
            <w14:solidFill>
              <w14:schemeClr w14:val="tx1"/>
            </w14:solidFill>
          </w14:textFill>
        </w:rPr>
        <w:t>0.435t/a</w:t>
      </w:r>
      <w:r>
        <w:rPr>
          <w:rFonts w:hint="default" w:ascii="Times New Roman" w:hAnsi="Times New Roman" w:cs="Times New Roman"/>
          <w:color w:val="000000" w:themeColor="text1"/>
          <w:kern w:val="0"/>
          <w:sz w:val="28"/>
          <w:szCs w:val="28"/>
          <w14:textFill>
            <w14:solidFill>
              <w14:schemeClr w14:val="tx1"/>
            </w14:solidFill>
          </w14:textFill>
        </w:rPr>
        <w:t>。</w:t>
      </w:r>
    </w:p>
    <w:p>
      <w:pPr>
        <w:tabs>
          <w:tab w:val="left" w:pos="180"/>
        </w:tabs>
        <w:spacing w:line="360" w:lineRule="auto"/>
        <w:ind w:firstLine="560" w:firstLineChars="200"/>
        <w:rPr>
          <w:rFonts w:hint="default" w:ascii="Times New Roman" w:hAnsi="Times New Roman" w:cs="Times New Roman"/>
          <w:kern w:val="0"/>
          <w:sz w:val="28"/>
          <w:szCs w:val="28"/>
        </w:rPr>
      </w:pPr>
      <w:r>
        <w:rPr>
          <w:rFonts w:hint="default" w:ascii="Times New Roman" w:hAnsi="Times New Roman" w:cs="Times New Roman"/>
          <w:kern w:val="0"/>
          <w:sz w:val="28"/>
          <w:szCs w:val="28"/>
        </w:rPr>
        <w:t>10.2.1.3 厂界噪声监测结果</w:t>
      </w:r>
    </w:p>
    <w:p>
      <w:pPr>
        <w:tabs>
          <w:tab w:val="left" w:pos="180"/>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kern w:val="0"/>
          <w:sz w:val="28"/>
          <w:szCs w:val="28"/>
        </w:rPr>
        <w:t>验收</w:t>
      </w:r>
      <w:r>
        <w:rPr>
          <w:rFonts w:hint="default" w:ascii="Times New Roman" w:hAnsi="Times New Roman" w:cs="Times New Roman"/>
          <w:color w:val="000000"/>
          <w:kern w:val="0"/>
          <w:sz w:val="28"/>
          <w:szCs w:val="28"/>
        </w:rPr>
        <w:t>监测期间，根据实际情况于</w:t>
      </w:r>
      <w:r>
        <w:rPr>
          <w:rFonts w:hint="default" w:ascii="Times New Roman" w:hAnsi="Times New Roman" w:cs="Times New Roman"/>
          <w:color w:val="000000"/>
          <w:kern w:val="0"/>
          <w:sz w:val="28"/>
          <w:szCs w:val="28"/>
          <w:lang w:eastAsia="zh-CN"/>
        </w:rPr>
        <w:t>平阳县万鹏表面处理有限公司</w:t>
      </w:r>
      <w:r>
        <w:rPr>
          <w:rFonts w:hint="default" w:ascii="Times New Roman" w:hAnsi="Times New Roman" w:cs="Times New Roman"/>
          <w:color w:val="000000"/>
          <w:kern w:val="0"/>
          <w:sz w:val="28"/>
          <w:szCs w:val="28"/>
        </w:rPr>
        <w:t>厂界东南</w:t>
      </w:r>
      <w:r>
        <w:rPr>
          <w:rFonts w:hint="default" w:ascii="Times New Roman" w:hAnsi="Times New Roman" w:cs="Times New Roman"/>
          <w:kern w:val="0"/>
          <w:sz w:val="28"/>
          <w:szCs w:val="28"/>
        </w:rPr>
        <w:t>侧(1号点)、东北侧(2号点)共设置2个噪声测点</w:t>
      </w:r>
      <w:r>
        <w:rPr>
          <w:rFonts w:hint="default" w:ascii="Times New Roman" w:hAnsi="Times New Roman" w:cs="Times New Roman"/>
          <w:color w:val="000000"/>
          <w:kern w:val="0"/>
          <w:sz w:val="28"/>
          <w:szCs w:val="28"/>
        </w:rPr>
        <w:t>。其两天昼间监测结果表明，厂界东南</w:t>
      </w:r>
      <w:r>
        <w:rPr>
          <w:rFonts w:hint="default" w:ascii="Times New Roman" w:hAnsi="Times New Roman" w:cs="Times New Roman"/>
          <w:kern w:val="0"/>
          <w:sz w:val="28"/>
          <w:szCs w:val="28"/>
        </w:rPr>
        <w:t>侧(1号点)</w:t>
      </w:r>
      <w:r>
        <w:rPr>
          <w:rFonts w:hint="default" w:ascii="Times New Roman" w:hAnsi="Times New Roman" w:cs="Times New Roman"/>
          <w:color w:val="000000"/>
          <w:kern w:val="0"/>
          <w:sz w:val="28"/>
          <w:szCs w:val="28"/>
        </w:rPr>
        <w:t>测点噪声达到《工业企业厂界环境噪声排放标准》(GB12348-2008)</w:t>
      </w:r>
      <w:r>
        <w:rPr>
          <w:rFonts w:hint="eastAsia" w:ascii="Times New Roman" w:hAnsi="Times New Roman" w:cs="Times New Roman"/>
          <w:color w:val="000000"/>
          <w:kern w:val="0"/>
          <w:sz w:val="28"/>
          <w:szCs w:val="28"/>
          <w:lang w:val="en-US" w:eastAsia="zh-CN"/>
        </w:rPr>
        <w:t>4</w:t>
      </w:r>
      <w:r>
        <w:rPr>
          <w:rFonts w:hint="default" w:ascii="Times New Roman" w:hAnsi="Times New Roman" w:cs="Times New Roman"/>
          <w:color w:val="000000"/>
          <w:kern w:val="0"/>
          <w:sz w:val="28"/>
          <w:szCs w:val="28"/>
        </w:rPr>
        <w:t>类标准</w:t>
      </w:r>
      <w:r>
        <w:rPr>
          <w:rFonts w:hint="eastAsia" w:ascii="Times New Roman" w:hAnsi="Times New Roman" w:cs="Times New Roman"/>
          <w:color w:val="000000"/>
          <w:kern w:val="0"/>
          <w:sz w:val="28"/>
          <w:szCs w:val="28"/>
          <w:lang w:eastAsia="zh-CN"/>
        </w:rPr>
        <w:t>，</w:t>
      </w:r>
      <w:r>
        <w:rPr>
          <w:rFonts w:hint="default" w:ascii="Times New Roman" w:hAnsi="Times New Roman" w:cs="Times New Roman"/>
          <w:color w:val="000000"/>
          <w:kern w:val="0"/>
          <w:sz w:val="28"/>
          <w:szCs w:val="28"/>
        </w:rPr>
        <w:t>东北侧(2号点)测点噪声达到</w:t>
      </w:r>
      <w:r>
        <w:rPr>
          <w:rFonts w:hint="eastAsia" w:ascii="Times New Roman" w:hAnsi="Times New Roman" w:cs="Times New Roman"/>
          <w:color w:val="000000"/>
          <w:kern w:val="0"/>
          <w:sz w:val="28"/>
          <w:szCs w:val="28"/>
          <w:lang w:val="en-US" w:eastAsia="zh-CN"/>
        </w:rPr>
        <w:t>3类标准</w:t>
      </w:r>
      <w:r>
        <w:rPr>
          <w:rFonts w:hint="default" w:ascii="Times New Roman" w:hAnsi="Times New Roman" w:cs="Times New Roman"/>
          <w:color w:val="000000"/>
          <w:kern w:val="0"/>
          <w:sz w:val="28"/>
          <w:szCs w:val="28"/>
        </w:rPr>
        <w:t>，现场检测时，</w:t>
      </w:r>
      <w:r>
        <w:rPr>
          <w:rFonts w:hint="eastAsia" w:ascii="Times New Roman" w:hAnsi="Times New Roman" w:cs="Times New Roman"/>
          <w:color w:val="000000"/>
          <w:kern w:val="0"/>
          <w:sz w:val="28"/>
          <w:szCs w:val="28"/>
          <w:lang w:val="en-US" w:eastAsia="zh-CN"/>
        </w:rPr>
        <w:t>1号测点主要声源为二车间生产噪声，2号测点主要声源为一车间生产噪声</w:t>
      </w:r>
      <w:r>
        <w:rPr>
          <w:rFonts w:hint="default" w:ascii="Times New Roman" w:hAnsi="Times New Roman" w:cs="Times New Roman"/>
          <w:color w:val="000000"/>
          <w:kern w:val="0"/>
          <w:sz w:val="28"/>
          <w:szCs w:val="28"/>
        </w:rPr>
        <w:t>。具体监测结果及监测</w:t>
      </w:r>
      <w:r>
        <w:rPr>
          <w:rFonts w:hint="default" w:ascii="Times New Roman" w:hAnsi="Times New Roman" w:cs="Times New Roman"/>
          <w:kern w:val="0"/>
          <w:sz w:val="28"/>
          <w:szCs w:val="28"/>
        </w:rPr>
        <w:t>点位见</w:t>
      </w:r>
      <w:r>
        <w:rPr>
          <w:rFonts w:hint="default" w:ascii="Times New Roman" w:hAnsi="Times New Roman" w:cs="Times New Roman"/>
          <w:color w:val="000000"/>
          <w:sz w:val="28"/>
          <w:szCs w:val="28"/>
        </w:rPr>
        <w:t>表10-4、图3-2。</w:t>
      </w:r>
    </w:p>
    <w:p>
      <w:pPr>
        <w:pStyle w:val="6"/>
        <w:keepNext/>
        <w:keepLines/>
        <w:pageBreakBefore w:val="0"/>
        <w:widowControl w:val="0"/>
        <w:kinsoku/>
        <w:wordWrap/>
        <w:overflowPunct/>
        <w:topLinePunct w:val="0"/>
        <w:autoSpaceDE/>
        <w:autoSpaceDN/>
        <w:bidi w:val="0"/>
        <w:adjustRightInd w:val="0"/>
        <w:snapToGrid w:val="0"/>
        <w:spacing w:after="145" w:afterLines="50" w:line="240" w:lineRule="auto"/>
        <w:textAlignment w:val="auto"/>
        <w:rPr>
          <w:rFonts w:hint="default" w:ascii="Times New Roman" w:hAnsi="Times New Roman" w:cs="Times New Roman"/>
        </w:rPr>
      </w:pPr>
      <w:r>
        <w:rPr>
          <w:rFonts w:hint="default" w:ascii="Times New Roman" w:hAnsi="Times New Roman" w:eastAsia="楷体" w:cs="Times New Roman"/>
        </w:rPr>
        <w:t>表10-4 厂界噪声监测结果统计表</w:t>
      </w:r>
    </w:p>
    <w:tbl>
      <w:tblPr>
        <w:tblStyle w:val="37"/>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19"/>
        <w:gridCol w:w="1558"/>
        <w:gridCol w:w="962"/>
        <w:gridCol w:w="963"/>
        <w:gridCol w:w="962"/>
        <w:gridCol w:w="975"/>
        <w:gridCol w:w="89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1119" w:type="dxa"/>
            <w:vMerge w:val="restart"/>
            <w:vAlign w:val="center"/>
          </w:tcPr>
          <w:p>
            <w:pPr>
              <w:tabs>
                <w:tab w:val="left" w:pos="630"/>
              </w:tabs>
              <w:jc w:val="center"/>
              <w:rPr>
                <w:rFonts w:hint="default" w:ascii="Times New Roman" w:hAnsi="Times New Roman" w:cs="Times New Roman"/>
                <w:szCs w:val="21"/>
              </w:rPr>
            </w:pPr>
            <w:r>
              <w:rPr>
                <w:rFonts w:hint="default" w:ascii="Times New Roman" w:hAnsi="Times New Roman" w:cs="Times New Roman"/>
                <w:szCs w:val="21"/>
              </w:rPr>
              <w:t>测点</w:t>
            </w:r>
          </w:p>
          <w:p>
            <w:pPr>
              <w:tabs>
                <w:tab w:val="left" w:pos="630"/>
              </w:tabs>
              <w:jc w:val="center"/>
              <w:rPr>
                <w:rFonts w:hint="default" w:ascii="Times New Roman" w:hAnsi="Times New Roman" w:cs="Times New Roman"/>
                <w:szCs w:val="21"/>
              </w:rPr>
            </w:pPr>
            <w:r>
              <w:rPr>
                <w:rFonts w:hint="default" w:ascii="Times New Roman" w:hAnsi="Times New Roman" w:cs="Times New Roman"/>
                <w:szCs w:val="21"/>
              </w:rPr>
              <w:t>编号</w:t>
            </w:r>
          </w:p>
        </w:tc>
        <w:tc>
          <w:tcPr>
            <w:tcW w:w="7208" w:type="dxa"/>
            <w:gridSpan w:val="7"/>
            <w:vAlign w:val="center"/>
          </w:tcPr>
          <w:p>
            <w:pPr>
              <w:tabs>
                <w:tab w:val="left" w:pos="630"/>
              </w:tabs>
              <w:jc w:val="center"/>
              <w:rPr>
                <w:rFonts w:hint="default" w:ascii="Times New Roman" w:hAnsi="Times New Roman" w:cs="Times New Roman"/>
                <w:szCs w:val="21"/>
              </w:rPr>
            </w:pPr>
            <w:r>
              <w:rPr>
                <w:rFonts w:hint="default" w:ascii="Times New Roman" w:hAnsi="Times New Roman" w:cs="Times New Roman"/>
                <w:szCs w:val="21"/>
                <w:lang w:eastAsia="zh-CN"/>
              </w:rPr>
              <w:t>11月11日、12日</w:t>
            </w:r>
            <w:r>
              <w:rPr>
                <w:rFonts w:hint="default" w:ascii="Times New Roman" w:hAnsi="Times New Roman" w:cs="Times New Roman"/>
                <w:szCs w:val="21"/>
              </w:rPr>
              <w:t>等效声级dB(A)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tblHeader/>
          <w:jc w:val="center"/>
        </w:trPr>
        <w:tc>
          <w:tcPr>
            <w:tcW w:w="1119" w:type="dxa"/>
            <w:vMerge w:val="continue"/>
            <w:tcBorders>
              <w:bottom w:val="single" w:color="auto" w:sz="4" w:space="0"/>
            </w:tcBorders>
            <w:vAlign w:val="center"/>
          </w:tcPr>
          <w:p>
            <w:pPr>
              <w:tabs>
                <w:tab w:val="left" w:pos="630"/>
              </w:tabs>
              <w:ind w:left="-57" w:right="-57"/>
              <w:jc w:val="center"/>
              <w:rPr>
                <w:rFonts w:hint="default" w:ascii="Times New Roman" w:hAnsi="Times New Roman" w:cs="Times New Roman"/>
                <w:szCs w:val="21"/>
              </w:rPr>
            </w:pPr>
          </w:p>
        </w:tc>
        <w:tc>
          <w:tcPr>
            <w:tcW w:w="1558" w:type="dxa"/>
            <w:tcBorders>
              <w:bottom w:val="single" w:color="auto" w:sz="4" w:space="0"/>
            </w:tcBorders>
            <w:vAlign w:val="center"/>
          </w:tcPr>
          <w:p>
            <w:pPr>
              <w:tabs>
                <w:tab w:val="left" w:pos="630"/>
              </w:tabs>
              <w:jc w:val="center"/>
              <w:rPr>
                <w:rFonts w:hint="default" w:ascii="Times New Roman" w:hAnsi="Times New Roman" w:cs="Times New Roman"/>
                <w:szCs w:val="21"/>
              </w:rPr>
            </w:pPr>
            <w:r>
              <w:rPr>
                <w:rFonts w:hint="default" w:ascii="Times New Roman" w:hAnsi="Times New Roman" w:cs="Times New Roman"/>
                <w:szCs w:val="21"/>
              </w:rPr>
              <w:t>主要噪声源</w:t>
            </w:r>
          </w:p>
        </w:tc>
        <w:tc>
          <w:tcPr>
            <w:tcW w:w="962" w:type="dxa"/>
            <w:vAlign w:val="center"/>
          </w:tcPr>
          <w:p>
            <w:pPr>
              <w:adjustRightInd w:val="0"/>
              <w:snapToGrid w:val="0"/>
              <w:ind w:left="-105" w:leftChars="-50" w:right="-105" w:rightChars="-50"/>
              <w:jc w:val="center"/>
              <w:rPr>
                <w:rFonts w:hint="default" w:ascii="Times New Roman" w:hAnsi="Times New Roman" w:cs="Times New Roman"/>
                <w:spacing w:val="-10"/>
                <w:szCs w:val="21"/>
              </w:rPr>
            </w:pPr>
            <w:r>
              <w:rPr>
                <w:rFonts w:hint="default" w:ascii="Times New Roman" w:hAnsi="Times New Roman" w:cs="Times New Roman"/>
                <w:spacing w:val="-10"/>
                <w:szCs w:val="21"/>
                <w:lang w:val="en-US" w:eastAsia="zh-CN"/>
              </w:rPr>
              <w:t>11</w:t>
            </w:r>
            <w:r>
              <w:rPr>
                <w:rFonts w:hint="default" w:ascii="Times New Roman" w:hAnsi="Times New Roman" w:cs="Times New Roman"/>
                <w:spacing w:val="-10"/>
                <w:szCs w:val="21"/>
              </w:rPr>
              <w:t>日上午</w:t>
            </w:r>
          </w:p>
        </w:tc>
        <w:tc>
          <w:tcPr>
            <w:tcW w:w="963" w:type="dxa"/>
            <w:vAlign w:val="center"/>
          </w:tcPr>
          <w:p>
            <w:pPr>
              <w:adjustRightInd w:val="0"/>
              <w:snapToGrid w:val="0"/>
              <w:ind w:left="-105" w:leftChars="-50" w:right="-105" w:rightChars="-50"/>
              <w:jc w:val="center"/>
              <w:rPr>
                <w:rFonts w:hint="default" w:ascii="Times New Roman" w:hAnsi="Times New Roman" w:cs="Times New Roman"/>
                <w:b/>
                <w:spacing w:val="-10"/>
                <w:szCs w:val="21"/>
              </w:rPr>
            </w:pPr>
            <w:r>
              <w:rPr>
                <w:rFonts w:hint="default" w:ascii="Times New Roman" w:hAnsi="Times New Roman" w:cs="Times New Roman"/>
                <w:spacing w:val="-10"/>
                <w:szCs w:val="21"/>
                <w:lang w:val="en-US" w:eastAsia="zh-CN"/>
              </w:rPr>
              <w:t>12</w:t>
            </w:r>
            <w:r>
              <w:rPr>
                <w:rFonts w:hint="default" w:ascii="Times New Roman" w:hAnsi="Times New Roman" w:cs="Times New Roman"/>
                <w:spacing w:val="-10"/>
                <w:szCs w:val="21"/>
              </w:rPr>
              <w:t>日上午</w:t>
            </w:r>
          </w:p>
        </w:tc>
        <w:tc>
          <w:tcPr>
            <w:tcW w:w="962" w:type="dxa"/>
            <w:vAlign w:val="center"/>
          </w:tcPr>
          <w:p>
            <w:pPr>
              <w:adjustRightInd w:val="0"/>
              <w:snapToGrid w:val="0"/>
              <w:ind w:left="-105" w:leftChars="-50" w:right="-105" w:rightChars="-50"/>
              <w:jc w:val="center"/>
              <w:rPr>
                <w:rFonts w:hint="default" w:ascii="Times New Roman" w:hAnsi="Times New Roman" w:cs="Times New Roman"/>
                <w:szCs w:val="21"/>
              </w:rPr>
            </w:pPr>
            <w:r>
              <w:rPr>
                <w:rFonts w:hint="default" w:ascii="Times New Roman" w:hAnsi="Times New Roman" w:cs="Times New Roman"/>
                <w:spacing w:val="-10"/>
                <w:szCs w:val="21"/>
                <w:lang w:val="en-US" w:eastAsia="zh-CN"/>
              </w:rPr>
              <w:t>11</w:t>
            </w:r>
            <w:r>
              <w:rPr>
                <w:rFonts w:hint="default" w:ascii="Times New Roman" w:hAnsi="Times New Roman" w:cs="Times New Roman"/>
                <w:spacing w:val="-10"/>
                <w:szCs w:val="21"/>
              </w:rPr>
              <w:t>日下午</w:t>
            </w:r>
          </w:p>
        </w:tc>
        <w:tc>
          <w:tcPr>
            <w:tcW w:w="975" w:type="dxa"/>
            <w:vAlign w:val="center"/>
          </w:tcPr>
          <w:p>
            <w:pPr>
              <w:adjustRightInd w:val="0"/>
              <w:snapToGrid w:val="0"/>
              <w:ind w:left="-105" w:leftChars="-50" w:right="-105" w:rightChars="-50"/>
              <w:jc w:val="center"/>
              <w:rPr>
                <w:rFonts w:hint="default" w:ascii="Times New Roman" w:hAnsi="Times New Roman" w:cs="Times New Roman"/>
                <w:szCs w:val="21"/>
              </w:rPr>
            </w:pPr>
            <w:r>
              <w:rPr>
                <w:rFonts w:hint="default" w:ascii="Times New Roman" w:hAnsi="Times New Roman" w:cs="Times New Roman"/>
                <w:spacing w:val="-10"/>
                <w:szCs w:val="21"/>
                <w:lang w:val="en-US" w:eastAsia="zh-CN"/>
              </w:rPr>
              <w:t>12</w:t>
            </w:r>
            <w:r>
              <w:rPr>
                <w:rFonts w:hint="default" w:ascii="Times New Roman" w:hAnsi="Times New Roman" w:cs="Times New Roman"/>
                <w:spacing w:val="-10"/>
                <w:szCs w:val="21"/>
              </w:rPr>
              <w:t>日下午</w:t>
            </w:r>
          </w:p>
        </w:tc>
        <w:tc>
          <w:tcPr>
            <w:tcW w:w="895" w:type="dxa"/>
            <w:vAlign w:val="center"/>
          </w:tcPr>
          <w:p>
            <w:pPr>
              <w:adjustRightInd w:val="0"/>
              <w:snapToGrid w:val="0"/>
              <w:ind w:left="-105" w:leftChars="-50" w:right="-105" w:rightChars="-50"/>
              <w:jc w:val="center"/>
              <w:rPr>
                <w:rFonts w:hint="default" w:ascii="Times New Roman" w:hAnsi="Times New Roman" w:cs="Times New Roman"/>
                <w:b/>
                <w:spacing w:val="-10"/>
                <w:szCs w:val="21"/>
              </w:rPr>
            </w:pPr>
            <w:r>
              <w:rPr>
                <w:rFonts w:hint="default" w:ascii="Times New Roman" w:hAnsi="Times New Roman" w:cs="Times New Roman"/>
                <w:b/>
                <w:spacing w:val="-10"/>
                <w:szCs w:val="21"/>
              </w:rPr>
              <w:t>排放标准</w:t>
            </w:r>
          </w:p>
        </w:tc>
        <w:tc>
          <w:tcPr>
            <w:tcW w:w="893" w:type="dxa"/>
            <w:vAlign w:val="center"/>
          </w:tcPr>
          <w:p>
            <w:pPr>
              <w:adjustRightInd w:val="0"/>
              <w:snapToGrid w:val="0"/>
              <w:ind w:left="-105" w:leftChars="-50" w:right="-105" w:rightChars="-50"/>
              <w:jc w:val="center"/>
              <w:rPr>
                <w:rFonts w:hint="default" w:ascii="Times New Roman" w:hAnsi="Times New Roman" w:cs="Times New Roman"/>
                <w:b/>
                <w:spacing w:val="-10"/>
                <w:szCs w:val="21"/>
              </w:rPr>
            </w:pPr>
            <w:r>
              <w:rPr>
                <w:rFonts w:hint="default" w:ascii="Times New Roman" w:hAnsi="Times New Roman" w:cs="Times New Roman"/>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1119" w:type="dxa"/>
            <w:vAlign w:val="center"/>
          </w:tcPr>
          <w:p>
            <w:pPr>
              <w:tabs>
                <w:tab w:val="left" w:pos="630"/>
              </w:tabs>
              <w:ind w:left="-57" w:right="-57"/>
              <w:jc w:val="center"/>
              <w:rPr>
                <w:rFonts w:hint="default" w:ascii="Times New Roman" w:hAnsi="Times New Roman" w:cs="Times New Roman"/>
                <w:szCs w:val="21"/>
              </w:rPr>
            </w:pPr>
            <w:r>
              <w:rPr>
                <w:rFonts w:hint="default" w:ascii="Times New Roman" w:hAnsi="Times New Roman" w:cs="Times New Roman"/>
                <w:szCs w:val="21"/>
              </w:rPr>
              <w:t>01（东南侧）</w:t>
            </w:r>
          </w:p>
        </w:tc>
        <w:tc>
          <w:tcPr>
            <w:tcW w:w="1558" w:type="dxa"/>
            <w:vAlign w:val="center"/>
          </w:tcPr>
          <w:p>
            <w:pPr>
              <w:ind w:left="-57" w:right="-57"/>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二车间生产噪声</w:t>
            </w:r>
          </w:p>
        </w:tc>
        <w:tc>
          <w:tcPr>
            <w:tcW w:w="962"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59</w:t>
            </w:r>
          </w:p>
        </w:tc>
        <w:tc>
          <w:tcPr>
            <w:tcW w:w="963"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62</w:t>
            </w:r>
          </w:p>
        </w:tc>
        <w:tc>
          <w:tcPr>
            <w:tcW w:w="962"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61</w:t>
            </w:r>
          </w:p>
        </w:tc>
        <w:tc>
          <w:tcPr>
            <w:tcW w:w="975"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62</w:t>
            </w:r>
          </w:p>
        </w:tc>
        <w:tc>
          <w:tcPr>
            <w:tcW w:w="895" w:type="dxa"/>
            <w:vAlign w:val="center"/>
          </w:tcPr>
          <w:p>
            <w:pPr>
              <w:adjustRightInd w:val="0"/>
              <w:snapToGrid w:val="0"/>
              <w:jc w:val="cente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70</w:t>
            </w:r>
          </w:p>
        </w:tc>
        <w:tc>
          <w:tcPr>
            <w:tcW w:w="89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1119" w:type="dxa"/>
            <w:vAlign w:val="center"/>
          </w:tcPr>
          <w:p>
            <w:pPr>
              <w:tabs>
                <w:tab w:val="left" w:pos="630"/>
              </w:tabs>
              <w:ind w:left="-57" w:right="-57"/>
              <w:jc w:val="center"/>
              <w:rPr>
                <w:rFonts w:hint="default" w:ascii="Times New Roman" w:hAnsi="Times New Roman" w:cs="Times New Roman"/>
                <w:szCs w:val="21"/>
              </w:rPr>
            </w:pPr>
            <w:r>
              <w:rPr>
                <w:rFonts w:hint="default" w:ascii="Times New Roman" w:hAnsi="Times New Roman" w:cs="Times New Roman"/>
                <w:szCs w:val="21"/>
              </w:rPr>
              <w:t>02（东北侧）</w:t>
            </w:r>
          </w:p>
        </w:tc>
        <w:tc>
          <w:tcPr>
            <w:tcW w:w="1558" w:type="dxa"/>
            <w:vAlign w:val="center"/>
          </w:tcPr>
          <w:p>
            <w:pPr>
              <w:ind w:left="-57" w:right="-57"/>
              <w:jc w:val="center"/>
              <w:rPr>
                <w:rFonts w:hint="default" w:ascii="Times New Roman" w:hAnsi="Times New Roman" w:cs="Times New Roman"/>
                <w:color w:val="FF0000"/>
                <w:szCs w:val="21"/>
              </w:rPr>
            </w:pPr>
            <w:r>
              <w:rPr>
                <w:rFonts w:hint="default" w:ascii="Times New Roman" w:hAnsi="Times New Roman" w:cs="Times New Roman"/>
                <w:szCs w:val="21"/>
                <w:lang w:eastAsia="zh-CN"/>
              </w:rPr>
              <w:t>一车间生产噪声</w:t>
            </w:r>
          </w:p>
        </w:tc>
        <w:tc>
          <w:tcPr>
            <w:tcW w:w="962"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61</w:t>
            </w:r>
          </w:p>
        </w:tc>
        <w:tc>
          <w:tcPr>
            <w:tcW w:w="963"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61</w:t>
            </w:r>
          </w:p>
        </w:tc>
        <w:tc>
          <w:tcPr>
            <w:tcW w:w="962"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60</w:t>
            </w:r>
          </w:p>
        </w:tc>
        <w:tc>
          <w:tcPr>
            <w:tcW w:w="975" w:type="dxa"/>
            <w:vAlign w:val="center"/>
          </w:tcPr>
          <w:p>
            <w:pPr>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60</w:t>
            </w:r>
          </w:p>
        </w:tc>
        <w:tc>
          <w:tcPr>
            <w:tcW w:w="895"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65</w:t>
            </w:r>
          </w:p>
        </w:tc>
        <w:tc>
          <w:tcPr>
            <w:tcW w:w="89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达标</w:t>
            </w:r>
          </w:p>
        </w:tc>
      </w:tr>
    </w:tbl>
    <w:p>
      <w:pPr>
        <w:spacing w:line="360" w:lineRule="auto"/>
        <w:ind w:firstLine="420" w:firstLineChars="200"/>
        <w:rPr>
          <w:rFonts w:hint="default" w:ascii="Times New Roman" w:hAnsi="Times New Roman" w:cs="Times New Roman"/>
          <w:sz w:val="28"/>
          <w:szCs w:val="28"/>
        </w:rPr>
      </w:pPr>
      <w:r>
        <w:rPr>
          <w:rFonts w:hint="default" w:ascii="Times New Roman" w:hAnsi="Times New Roman" w:cs="Times New Roman"/>
          <w:szCs w:val="21"/>
        </w:rPr>
        <w:t>注：以上监</w:t>
      </w:r>
      <w:r>
        <w:rPr>
          <w:rFonts w:hint="default" w:ascii="Times New Roman" w:hAnsi="Times New Roman" w:cs="Times New Roman"/>
          <w:color w:val="000000"/>
          <w:szCs w:val="21"/>
        </w:rPr>
        <w:t>测数据引自</w:t>
      </w:r>
      <w:r>
        <w:rPr>
          <w:rFonts w:hint="default" w:ascii="Times New Roman" w:hAnsi="Times New Roman" w:cs="Times New Roman"/>
          <w:spacing w:val="-6"/>
          <w:szCs w:val="21"/>
        </w:rPr>
        <w:t>XH(HJ)-20</w:t>
      </w:r>
      <w:r>
        <w:rPr>
          <w:rFonts w:hint="eastAsia" w:cs="Times New Roman"/>
          <w:spacing w:val="-6"/>
          <w:szCs w:val="21"/>
          <w:lang w:val="en-US" w:eastAsia="zh-CN"/>
        </w:rPr>
        <w:t>11244</w:t>
      </w:r>
      <w:r>
        <w:rPr>
          <w:rFonts w:hint="default" w:ascii="Times New Roman" w:hAnsi="Times New Roman" w:cs="Times New Roman"/>
          <w:color w:val="000000"/>
          <w:szCs w:val="21"/>
        </w:rPr>
        <w:t>号检测报告</w:t>
      </w:r>
      <w:r>
        <w:rPr>
          <w:rFonts w:hint="default" w:ascii="Times New Roman" w:hAnsi="Times New Roman" w:cs="Times New Roman"/>
          <w:szCs w:val="21"/>
        </w:rPr>
        <w:t>。</w:t>
      </w:r>
    </w:p>
    <w:p>
      <w:pPr>
        <w:pStyle w:val="5"/>
        <w:rPr>
          <w:rFonts w:hint="default" w:ascii="Times New Roman" w:hAnsi="Times New Roman" w:cs="Times New Roman"/>
        </w:rPr>
      </w:pPr>
      <w:r>
        <w:rPr>
          <w:rFonts w:hint="default" w:ascii="Times New Roman" w:hAnsi="Times New Roman" w:cs="Times New Roman"/>
        </w:rPr>
        <w:t>10.2.2 污染物排放总量核算</w:t>
      </w:r>
    </w:p>
    <w:p>
      <w:pPr>
        <w:tabs>
          <w:tab w:val="left" w:pos="180"/>
        </w:tabs>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根据企业提供的数据，</w:t>
      </w:r>
      <w:r>
        <w:rPr>
          <w:rFonts w:hint="default" w:ascii="Times New Roman" w:hAnsi="Times New Roman" w:cs="Times New Roman"/>
          <w:color w:val="000000" w:themeColor="text1"/>
          <w:sz w:val="28"/>
          <w14:textFill>
            <w14:solidFill>
              <w14:schemeClr w14:val="tx1"/>
            </w14:solidFill>
          </w14:textFill>
        </w:rPr>
        <w:t>企业废水年排放</w:t>
      </w:r>
      <w:r>
        <w:rPr>
          <w:rFonts w:hint="eastAsia" w:cs="Times New Roman"/>
          <w:color w:val="000000" w:themeColor="text1"/>
          <w:sz w:val="28"/>
          <w:lang w:val="en-US" w:eastAsia="zh-CN"/>
          <w14:textFill>
            <w14:solidFill>
              <w14:schemeClr w14:val="tx1"/>
            </w14:solidFill>
          </w14:textFill>
        </w:rPr>
        <w:t>32024</w:t>
      </w:r>
      <w:r>
        <w:rPr>
          <w:rFonts w:hint="default" w:ascii="Times New Roman" w:hAnsi="Times New Roman" w:cs="Times New Roman"/>
          <w:color w:val="000000" w:themeColor="text1"/>
          <w:sz w:val="28"/>
          <w14:textFill>
            <w14:solidFill>
              <w14:schemeClr w14:val="tx1"/>
            </w14:solidFill>
          </w14:textFill>
        </w:rPr>
        <w:t>吨</w:t>
      </w:r>
      <w:r>
        <w:rPr>
          <w:rFonts w:hint="default" w:ascii="Times New Roman" w:hAnsi="Times New Roman" w:cs="Times New Roman"/>
          <w:sz w:val="28"/>
          <w:szCs w:val="28"/>
        </w:rPr>
        <w:t>，因此主要污染物的年排放量为化学需氧量</w:t>
      </w:r>
      <w:r>
        <w:rPr>
          <w:rFonts w:hint="eastAsia" w:cs="Times New Roman"/>
          <w:sz w:val="28"/>
          <w:szCs w:val="28"/>
          <w:lang w:val="en-US" w:eastAsia="zh-CN"/>
        </w:rPr>
        <w:t>1.60</w:t>
      </w:r>
      <w:r>
        <w:rPr>
          <w:rFonts w:hint="default" w:ascii="Times New Roman" w:hAnsi="Times New Roman" w:cs="Times New Roman"/>
          <w:sz w:val="28"/>
          <w:szCs w:val="28"/>
        </w:rPr>
        <w:t>t/a</w:t>
      </w:r>
      <w:r>
        <w:rPr>
          <w:rFonts w:hint="default" w:ascii="Times New Roman" w:hAnsi="Times New Roman" w:cs="Times New Roman"/>
          <w:spacing w:val="-40"/>
          <w:sz w:val="28"/>
          <w:szCs w:val="28"/>
        </w:rPr>
        <w:t>、</w:t>
      </w:r>
      <w:r>
        <w:rPr>
          <w:rFonts w:hint="default" w:ascii="Times New Roman" w:hAnsi="Times New Roman" w:cs="Times New Roman"/>
          <w:sz w:val="28"/>
          <w:szCs w:val="28"/>
        </w:rPr>
        <w:t>氨氮</w:t>
      </w:r>
      <w:r>
        <w:rPr>
          <w:rFonts w:hint="eastAsia" w:cs="Times New Roman"/>
          <w:sz w:val="28"/>
          <w:szCs w:val="28"/>
          <w:lang w:val="en-US" w:eastAsia="zh-CN"/>
        </w:rPr>
        <w:t>0.160</w:t>
      </w:r>
      <w:r>
        <w:rPr>
          <w:rFonts w:hint="default" w:ascii="Times New Roman" w:hAnsi="Times New Roman" w:cs="Times New Roman"/>
          <w:sz w:val="28"/>
          <w:szCs w:val="28"/>
        </w:rPr>
        <w:t>t/a</w:t>
      </w:r>
      <w:r>
        <w:rPr>
          <w:rFonts w:hint="default" w:ascii="Times New Roman" w:hAnsi="Times New Roman" w:cs="Times New Roman"/>
          <w:kern w:val="0"/>
          <w:sz w:val="28"/>
          <w:szCs w:val="28"/>
        </w:rPr>
        <w:t>，</w:t>
      </w:r>
      <w:r>
        <w:rPr>
          <w:rFonts w:hint="default" w:ascii="Times New Roman" w:hAnsi="Times New Roman" w:cs="Times New Roman"/>
          <w:sz w:val="28"/>
          <w:szCs w:val="28"/>
        </w:rPr>
        <w:t>均符合环评提出的控制指标要求。</w:t>
      </w:r>
      <w:bookmarkStart w:id="238" w:name="_Toc253056220"/>
      <w:bookmarkStart w:id="239" w:name="_Toc496198374"/>
      <w:bookmarkStart w:id="240" w:name="_Toc496198450"/>
    </w:p>
    <w:p>
      <w:pPr>
        <w:pStyle w:val="5"/>
        <w:rPr>
          <w:rFonts w:hint="default" w:ascii="Times New Roman" w:hAnsi="Times New Roman" w:cs="Times New Roman"/>
        </w:rPr>
      </w:pPr>
      <w:bookmarkStart w:id="241" w:name="_Toc496198281"/>
      <w:bookmarkStart w:id="242" w:name="_Toc496198362"/>
      <w:bookmarkStart w:id="243" w:name="_Toc496198438"/>
      <w:r>
        <w:rPr>
          <w:rFonts w:hint="default" w:ascii="Times New Roman" w:hAnsi="Times New Roman" w:cs="Times New Roman"/>
        </w:rPr>
        <w:t>10.2.3环保设施去除效</w:t>
      </w:r>
      <w:r>
        <w:rPr>
          <w:rFonts w:hint="eastAsia" w:cs="Times New Roman"/>
          <w:lang w:eastAsia="zh-CN"/>
        </w:rPr>
        <w:t>率监测结</w:t>
      </w:r>
      <w:r>
        <w:rPr>
          <w:rFonts w:hint="default" w:ascii="Times New Roman" w:hAnsi="Times New Roman" w:cs="Times New Roman"/>
        </w:rPr>
        <w:t>果</w:t>
      </w:r>
      <w:bookmarkEnd w:id="241"/>
      <w:bookmarkEnd w:id="242"/>
      <w:bookmarkEnd w:id="243"/>
    </w:p>
    <w:p>
      <w:pPr>
        <w:tabs>
          <w:tab w:val="left" w:pos="180"/>
        </w:tabs>
        <w:spacing w:line="360" w:lineRule="auto"/>
        <w:ind w:firstLine="560" w:firstLineChars="200"/>
        <w:jc w:val="left"/>
        <w:rPr>
          <w:rFonts w:hint="default" w:ascii="Times New Roman" w:hAnsi="Times New Roman" w:cs="Times New Roman"/>
          <w:sz w:val="28"/>
          <w:szCs w:val="28"/>
        </w:rPr>
      </w:pPr>
      <w:bookmarkStart w:id="244" w:name="_Toc496198363"/>
      <w:bookmarkStart w:id="245" w:name="_Toc496198439"/>
      <w:bookmarkStart w:id="246" w:name="_Toc496198282"/>
      <w:r>
        <w:rPr>
          <w:rFonts w:hint="default" w:ascii="Times New Roman" w:hAnsi="Times New Roman" w:cs="Times New Roman"/>
          <w:sz w:val="28"/>
          <w:szCs w:val="28"/>
        </w:rPr>
        <w:t>10.2.3.1废水治理设施</w:t>
      </w:r>
      <w:bookmarkEnd w:id="244"/>
      <w:bookmarkEnd w:id="245"/>
      <w:bookmarkEnd w:id="246"/>
    </w:p>
    <w:p>
      <w:pPr>
        <w:spacing w:line="360" w:lineRule="auto"/>
        <w:ind w:firstLine="560" w:firstLineChars="200"/>
        <w:rPr>
          <w:rFonts w:hint="default" w:ascii="Times New Roman" w:hAnsi="Times New Roman" w:cs="Times New Roman"/>
          <w:sz w:val="28"/>
        </w:rPr>
      </w:pPr>
      <w:r>
        <w:rPr>
          <w:rFonts w:hint="default" w:ascii="Times New Roman" w:hAnsi="Times New Roman" w:cs="Times New Roman"/>
          <w:sz w:val="28"/>
          <w:szCs w:val="28"/>
        </w:rPr>
        <w:t>项目生活污水排放口监测结果表明，pH范围、化学需氧量、五日生化需氧量、悬浮物和动植物油类排放浓度均</w:t>
      </w:r>
      <w:r>
        <w:rPr>
          <w:rFonts w:hint="eastAsia" w:cs="Times New Roman"/>
          <w:sz w:val="28"/>
          <w:szCs w:val="28"/>
          <w:lang w:eastAsia="zh-CN"/>
        </w:rPr>
        <w:t>低</w:t>
      </w:r>
      <w:r>
        <w:rPr>
          <w:rFonts w:hint="default" w:ascii="Times New Roman" w:hAnsi="Times New Roman" w:cs="Times New Roman"/>
          <w:sz w:val="28"/>
          <w:szCs w:val="28"/>
        </w:rPr>
        <w:t>于《污水综合排放标准》(GB8978-1996)三级标准限值；氨氮、总磷排放浓度</w:t>
      </w:r>
      <w:r>
        <w:rPr>
          <w:rFonts w:hint="eastAsia" w:cs="Times New Roman"/>
          <w:sz w:val="28"/>
          <w:szCs w:val="28"/>
          <w:lang w:eastAsia="zh-CN"/>
        </w:rPr>
        <w:t>低</w:t>
      </w:r>
      <w:r>
        <w:rPr>
          <w:rFonts w:hint="default" w:ascii="Times New Roman" w:hAnsi="Times New Roman" w:cs="Times New Roman"/>
          <w:sz w:val="28"/>
          <w:szCs w:val="28"/>
        </w:rPr>
        <w:t>于《工业企业废水氮、磷污染物间接排放限值》（DB33/887-2013）中的标准限值</w:t>
      </w:r>
      <w:r>
        <w:rPr>
          <w:rFonts w:hint="eastAsia" w:cs="Times New Roman"/>
          <w:sz w:val="28"/>
          <w:szCs w:val="28"/>
          <w:lang w:eastAsia="zh-CN"/>
        </w:rPr>
        <w:t>；</w:t>
      </w:r>
      <w:r>
        <w:rPr>
          <w:rFonts w:hint="eastAsia" w:ascii="Times New Roman" w:hAnsi="Times New Roman" w:cs="Times New Roman"/>
          <w:sz w:val="28"/>
          <w:szCs w:val="28"/>
          <w:lang w:eastAsia="zh-CN"/>
        </w:rPr>
        <w:t>总氮排放浓度</w:t>
      </w:r>
      <w:r>
        <w:rPr>
          <w:rFonts w:hint="eastAsia" w:cs="Times New Roman"/>
          <w:sz w:val="28"/>
          <w:szCs w:val="28"/>
          <w:lang w:eastAsia="zh-CN"/>
        </w:rPr>
        <w:t>低</w:t>
      </w:r>
      <w:r>
        <w:rPr>
          <w:rFonts w:hint="eastAsia" w:ascii="Times New Roman" w:hAnsi="Times New Roman" w:cs="Times New Roman"/>
          <w:sz w:val="28"/>
          <w:szCs w:val="28"/>
          <w:lang w:eastAsia="zh-CN"/>
        </w:rPr>
        <w:t>于</w:t>
      </w:r>
      <w:r>
        <w:rPr>
          <w:rFonts w:hint="default" w:ascii="Times New Roman" w:hAnsi="Times New Roman" w:cs="Times New Roman"/>
          <w:sz w:val="28"/>
          <w:szCs w:val="28"/>
          <w:lang w:val="en-US" w:eastAsia="zh-CN"/>
        </w:rPr>
        <w:t>《污水排入城镇下水道水质标准》（GB/T 31962—2015）表1B级排放限值</w:t>
      </w:r>
      <w:r>
        <w:rPr>
          <w:rFonts w:hint="default" w:ascii="Times New Roman" w:hAnsi="Times New Roman" w:cs="Times New Roman"/>
          <w:sz w:val="28"/>
        </w:rPr>
        <w:t>。</w:t>
      </w:r>
    </w:p>
    <w:p>
      <w:pPr>
        <w:spacing w:line="360" w:lineRule="auto"/>
        <w:ind w:firstLine="560" w:firstLineChars="200"/>
        <w:rPr>
          <w:rFonts w:hint="default" w:ascii="Times New Roman" w:hAnsi="Times New Roman" w:cs="Times New Roman"/>
        </w:rPr>
      </w:pPr>
      <w:r>
        <w:rPr>
          <w:rFonts w:hint="default" w:ascii="Times New Roman" w:hAnsi="Times New Roman" w:cs="Times New Roman"/>
          <w:sz w:val="28"/>
          <w:szCs w:val="28"/>
        </w:rPr>
        <w:t xml:space="preserve">10.2.3.2 </w:t>
      </w:r>
      <w:r>
        <w:rPr>
          <w:rFonts w:hint="default" w:ascii="Times New Roman" w:hAnsi="Times New Roman" w:cs="Times New Roman"/>
          <w:bCs/>
          <w:sz w:val="28"/>
          <w:szCs w:val="32"/>
        </w:rPr>
        <w:t>废气</w:t>
      </w:r>
      <w:r>
        <w:rPr>
          <w:rFonts w:hint="default" w:ascii="Times New Roman" w:hAnsi="Times New Roman" w:cs="Times New Roman"/>
          <w:sz w:val="28"/>
          <w:szCs w:val="28"/>
        </w:rPr>
        <w:t>治理设施</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根据企业废气排放口监测结果，主要污染物经净化处理达标后高空排放。</w:t>
      </w:r>
    </w:p>
    <w:p>
      <w:pPr>
        <w:pStyle w:val="16"/>
        <w:keepNext w:val="0"/>
        <w:keepLines w:val="0"/>
        <w:pageBreakBefore w:val="0"/>
        <w:widowControl w:val="0"/>
        <w:kinsoku/>
        <w:wordWrap/>
        <w:overflowPunct/>
        <w:topLinePunct w:val="0"/>
        <w:autoSpaceDE/>
        <w:autoSpaceDN/>
        <w:bidi w:val="0"/>
        <w:adjustRightInd w:val="0"/>
        <w:snapToGrid/>
        <w:spacing w:after="145" w:afterLines="50" w:line="240" w:lineRule="auto"/>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楷体" w:cs="Times New Roman"/>
          <w:bCs/>
          <w:sz w:val="24"/>
          <w:szCs w:val="28"/>
        </w:rPr>
        <w:t>表10-5  排气筒中有机废气监测结果去除率统计表</w:t>
      </w:r>
    </w:p>
    <w:tbl>
      <w:tblPr>
        <w:tblStyle w:val="37"/>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574"/>
        <w:gridCol w:w="1613"/>
        <w:gridCol w:w="161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项目</w:t>
            </w:r>
          </w:p>
        </w:tc>
        <w:tc>
          <w:tcPr>
            <w:tcW w:w="3187" w:type="dxa"/>
            <w:gridSpan w:val="2"/>
            <w:vAlign w:val="center"/>
          </w:tcPr>
          <w:p>
            <w:pPr>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rPr>
              <w:t>2020年</w:t>
            </w:r>
            <w:r>
              <w:rPr>
                <w:rFonts w:hint="default" w:ascii="Times New Roman" w:hAnsi="Times New Roman" w:eastAsia="仿宋" w:cs="Times New Roman"/>
                <w:sz w:val="24"/>
                <w:lang w:eastAsia="zh-CN"/>
              </w:rPr>
              <w:t>11月11日</w:t>
            </w:r>
          </w:p>
        </w:tc>
        <w:tc>
          <w:tcPr>
            <w:tcW w:w="3351" w:type="dxa"/>
            <w:gridSpan w:val="2"/>
            <w:vAlign w:val="center"/>
          </w:tcPr>
          <w:p>
            <w:pPr>
              <w:jc w:val="center"/>
              <w:rPr>
                <w:rFonts w:hint="default" w:ascii="Times New Roman" w:hAnsi="Times New Roman" w:eastAsia="仿宋" w:cs="Times New Roman"/>
                <w:sz w:val="24"/>
                <w:lang w:eastAsia="zh-CN"/>
              </w:rPr>
            </w:pPr>
            <w:r>
              <w:rPr>
                <w:rFonts w:hint="default" w:ascii="Times New Roman" w:hAnsi="Times New Roman" w:eastAsia="仿宋" w:cs="Times New Roman"/>
                <w:sz w:val="24"/>
              </w:rPr>
              <w:t>2020年</w:t>
            </w:r>
            <w:r>
              <w:rPr>
                <w:rFonts w:hint="default" w:ascii="Times New Roman" w:hAnsi="Times New Roman" w:eastAsia="仿宋" w:cs="Times New Roman"/>
                <w:sz w:val="24"/>
                <w:lang w:eastAsia="zh-CN"/>
              </w:rPr>
              <w:t>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VOCs kg/h</w:t>
            </w:r>
          </w:p>
          <w:p>
            <w:pPr>
              <w:jc w:val="center"/>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DA027</w:t>
            </w:r>
            <w:r>
              <w:rPr>
                <w:rFonts w:hint="default" w:ascii="Times New Roman" w:hAnsi="Times New Roman" w:eastAsia="仿宋" w:cs="Times New Roman"/>
                <w:sz w:val="24"/>
              </w:rPr>
              <w:t>喷漆车间</w:t>
            </w: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0.015</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0.0092</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613"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38.7%</w:t>
            </w:r>
          </w:p>
        </w:tc>
        <w:tc>
          <w:tcPr>
            <w:tcW w:w="1615"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736"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氯化氢</w:t>
            </w:r>
            <w:r>
              <w:rPr>
                <w:rFonts w:hint="default" w:ascii="Times New Roman" w:hAnsi="Times New Roman" w:eastAsia="仿宋" w:cs="Times New Roman"/>
                <w:sz w:val="24"/>
              </w:rPr>
              <w:t>kg/h</w:t>
            </w:r>
          </w:p>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DA022前处理、镀镍线</w:t>
            </w: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0.12</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0.069</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613"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42.5%</w:t>
            </w:r>
          </w:p>
        </w:tc>
        <w:tc>
          <w:tcPr>
            <w:tcW w:w="1615"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736"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restart"/>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氯化氢kg/h</w:t>
            </w:r>
          </w:p>
          <w:p>
            <w:pPr>
              <w:jc w:val="center"/>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DA019前处理、镀镍线</w:t>
            </w: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0.15</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净化前</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613"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0.098</w:t>
            </w:r>
          </w:p>
        </w:tc>
        <w:tc>
          <w:tcPr>
            <w:tcW w:w="1615"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净化后</w:t>
            </w:r>
          </w:p>
        </w:tc>
        <w:tc>
          <w:tcPr>
            <w:tcW w:w="1736" w:type="dxa"/>
            <w:vAlign w:val="center"/>
          </w:tcPr>
          <w:p>
            <w:pPr>
              <w:jc w:val="center"/>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6" w:type="dxa"/>
            <w:vMerge w:val="continue"/>
            <w:vAlign w:val="center"/>
          </w:tcPr>
          <w:p>
            <w:pPr>
              <w:jc w:val="center"/>
              <w:rPr>
                <w:rFonts w:hint="default" w:ascii="Times New Roman" w:hAnsi="Times New Roman" w:eastAsia="仿宋" w:cs="Times New Roman"/>
                <w:sz w:val="24"/>
              </w:rPr>
            </w:pPr>
          </w:p>
        </w:tc>
        <w:tc>
          <w:tcPr>
            <w:tcW w:w="1574"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613"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34.7%</w:t>
            </w:r>
          </w:p>
        </w:tc>
        <w:tc>
          <w:tcPr>
            <w:tcW w:w="1615" w:type="dxa"/>
            <w:vAlign w:val="center"/>
          </w:tcPr>
          <w:p>
            <w:pPr>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 xml:space="preserve">去除率     </w:t>
            </w:r>
          </w:p>
        </w:tc>
        <w:tc>
          <w:tcPr>
            <w:tcW w:w="1736" w:type="dxa"/>
            <w:vAlign w:val="center"/>
          </w:tcPr>
          <w:p>
            <w:pPr>
              <w:jc w:val="center"/>
              <w:rPr>
                <w:rFonts w:hint="default" w:ascii="Times New Roman" w:hAnsi="Times New Roman" w:eastAsia="仿宋" w:cs="Times New Roman"/>
                <w:b/>
                <w:bCs/>
                <w:sz w:val="24"/>
                <w:lang w:val="en-US" w:eastAsia="zh-CN"/>
              </w:rPr>
            </w:pPr>
            <w:r>
              <w:rPr>
                <w:rFonts w:hint="eastAsia" w:ascii="Times New Roman" w:hAnsi="Times New Roman" w:eastAsia="仿宋" w:cs="Times New Roman"/>
                <w:b/>
                <w:bCs/>
                <w:sz w:val="24"/>
                <w:lang w:val="en-US" w:eastAsia="zh-CN"/>
              </w:rPr>
              <w:t>34.7%</w:t>
            </w:r>
          </w:p>
        </w:tc>
      </w:tr>
    </w:tbl>
    <w:p>
      <w:pPr>
        <w:tabs>
          <w:tab w:val="left" w:pos="180"/>
        </w:tabs>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10.2.3.3厂界噪声</w:t>
      </w:r>
      <w:bookmarkStart w:id="247" w:name="_Toc496198365"/>
      <w:bookmarkStart w:id="248" w:name="_Toc496198284"/>
      <w:bookmarkStart w:id="249" w:name="_Toc496198441"/>
      <w:r>
        <w:rPr>
          <w:rFonts w:hint="default" w:ascii="Times New Roman" w:hAnsi="Times New Roman" w:cs="Times New Roman"/>
          <w:sz w:val="28"/>
          <w:szCs w:val="28"/>
        </w:rPr>
        <w:t>治理设施</w:t>
      </w:r>
      <w:bookmarkEnd w:id="247"/>
      <w:bookmarkEnd w:id="248"/>
      <w:bookmarkEnd w:id="249"/>
    </w:p>
    <w:p>
      <w:pPr>
        <w:tabs>
          <w:tab w:val="left" w:pos="180"/>
        </w:tabs>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color w:val="000000"/>
          <w:sz w:val="28"/>
          <w:szCs w:val="28"/>
        </w:rPr>
        <w:t>企业主要噪声污染设</w:t>
      </w:r>
      <w:r>
        <w:rPr>
          <w:rFonts w:hint="default" w:ascii="Times New Roman" w:hAnsi="Times New Roman" w:cs="Times New Roman"/>
          <w:sz w:val="28"/>
          <w:szCs w:val="28"/>
        </w:rPr>
        <w:t>备源强在70~90dB，采取加</w:t>
      </w:r>
      <w:r>
        <w:rPr>
          <w:rFonts w:hint="default" w:ascii="Times New Roman" w:hAnsi="Times New Roman" w:cs="Times New Roman"/>
          <w:color w:val="000000"/>
          <w:sz w:val="28"/>
          <w:szCs w:val="28"/>
        </w:rPr>
        <w:t>强设备维护和距离衰减等措施后，根据现场监测，厂界</w:t>
      </w:r>
      <w:r>
        <w:rPr>
          <w:rFonts w:hint="default" w:ascii="Times New Roman" w:hAnsi="Times New Roman" w:cs="Times New Roman"/>
          <w:color w:val="000000"/>
          <w:kern w:val="0"/>
          <w:sz w:val="28"/>
          <w:szCs w:val="28"/>
        </w:rPr>
        <w:t>东南</w:t>
      </w:r>
      <w:r>
        <w:rPr>
          <w:rFonts w:hint="default" w:ascii="Times New Roman" w:hAnsi="Times New Roman" w:cs="Times New Roman"/>
          <w:kern w:val="0"/>
          <w:sz w:val="28"/>
          <w:szCs w:val="28"/>
        </w:rPr>
        <w:t>侧(1号点)、东北侧(2号点)</w:t>
      </w:r>
      <w:r>
        <w:rPr>
          <w:rFonts w:hint="default" w:ascii="Times New Roman" w:hAnsi="Times New Roman" w:cs="Times New Roman"/>
          <w:color w:val="000000"/>
          <w:sz w:val="28"/>
          <w:szCs w:val="28"/>
        </w:rPr>
        <w:t>昼间上下午噪声均能达标排放。</w:t>
      </w:r>
    </w:p>
    <w:p>
      <w:pPr>
        <w:pStyle w:val="97"/>
        <w:spacing w:beforeLines="0" w:afterLines="0"/>
        <w:rPr>
          <w:rFonts w:hint="default" w:ascii="Times New Roman" w:hAnsi="Times New Roman" w:cs="Times New Roman"/>
        </w:rPr>
      </w:pPr>
      <w:r>
        <w:rPr>
          <w:rFonts w:hint="default" w:ascii="Times New Roman" w:hAnsi="Times New Roman" w:cs="Times New Roman"/>
          <w:sz w:val="28"/>
          <w:szCs w:val="28"/>
        </w:rPr>
        <w:br w:type="page"/>
      </w:r>
      <w:bookmarkEnd w:id="238"/>
      <w:bookmarkStart w:id="250" w:name="_Toc2867152"/>
      <w:bookmarkStart w:id="251" w:name="_Toc523410809"/>
      <w:r>
        <w:rPr>
          <w:rFonts w:hint="default" w:ascii="Times New Roman" w:hAnsi="Times New Roman" w:cs="Times New Roman"/>
        </w:rPr>
        <w:t>11 验收监测结论及建议</w:t>
      </w:r>
      <w:bookmarkEnd w:id="239"/>
      <w:bookmarkEnd w:id="240"/>
      <w:bookmarkEnd w:id="250"/>
      <w:bookmarkEnd w:id="251"/>
    </w:p>
    <w:p>
      <w:pPr>
        <w:pStyle w:val="34"/>
        <w:spacing w:beforeLines="0"/>
        <w:rPr>
          <w:rFonts w:hint="default" w:ascii="Times New Roman" w:hAnsi="Times New Roman" w:cs="Times New Roman"/>
        </w:rPr>
      </w:pPr>
      <w:bookmarkStart w:id="252" w:name="_Toc496198451"/>
      <w:bookmarkStart w:id="253" w:name="_Toc496198375"/>
      <w:bookmarkStart w:id="254" w:name="_Toc496198293"/>
      <w:bookmarkStart w:id="255" w:name="_Toc523410810"/>
      <w:bookmarkStart w:id="256" w:name="_Toc2867153"/>
      <w:bookmarkStart w:id="257" w:name="_Toc417399247"/>
      <w:bookmarkStart w:id="258" w:name="_Toc285806516"/>
      <w:r>
        <w:rPr>
          <w:rFonts w:hint="default" w:ascii="Times New Roman" w:hAnsi="Times New Roman" w:cs="Times New Roman"/>
          <w:color w:val="000000"/>
        </w:rPr>
        <w:t>11.1</w:t>
      </w:r>
      <w:bookmarkEnd w:id="252"/>
      <w:bookmarkEnd w:id="253"/>
      <w:bookmarkEnd w:id="254"/>
      <w:r>
        <w:rPr>
          <w:rFonts w:hint="default" w:ascii="Times New Roman" w:hAnsi="Times New Roman" w:cs="Times New Roman"/>
          <w:color w:val="000000"/>
        </w:rPr>
        <w:t xml:space="preserve"> </w:t>
      </w:r>
      <w:r>
        <w:rPr>
          <w:rFonts w:hint="default" w:ascii="Times New Roman" w:hAnsi="Times New Roman" w:cs="Times New Roman"/>
        </w:rPr>
        <w:t>验收监测结论</w:t>
      </w:r>
      <w:bookmarkEnd w:id="255"/>
      <w:bookmarkEnd w:id="256"/>
    </w:p>
    <w:p>
      <w:pPr>
        <w:spacing w:line="360" w:lineRule="auto"/>
        <w:ind w:firstLine="560" w:firstLineChars="200"/>
        <w:rPr>
          <w:rFonts w:hint="default" w:ascii="Times New Roman" w:hAnsi="Times New Roman" w:cs="Times New Roman"/>
          <w:color w:val="FF0000"/>
          <w:sz w:val="28"/>
          <w:szCs w:val="28"/>
        </w:rPr>
      </w:pPr>
      <w:r>
        <w:rPr>
          <w:rFonts w:hint="default" w:ascii="Times New Roman" w:hAnsi="Times New Roman" w:cs="Times New Roman"/>
          <w:color w:val="000000"/>
          <w:sz w:val="28"/>
          <w:szCs w:val="28"/>
        </w:rPr>
        <w:t>项目环保治理设施基本上达到设计要求并投入运行，符合建设项目竣工环境保护验收监测条件，2020年</w:t>
      </w:r>
      <w:r>
        <w:rPr>
          <w:rFonts w:hint="default" w:ascii="Times New Roman" w:hAnsi="Times New Roman" w:cs="Times New Roman"/>
          <w:color w:val="000000"/>
          <w:sz w:val="28"/>
          <w:szCs w:val="28"/>
          <w:lang w:eastAsia="zh-CN"/>
        </w:rPr>
        <w:t>11月11日、12日</w:t>
      </w:r>
      <w:r>
        <w:rPr>
          <w:rFonts w:hint="default" w:ascii="Times New Roman" w:hAnsi="Times New Roman" w:cs="Times New Roman"/>
          <w:color w:val="000000"/>
          <w:sz w:val="28"/>
          <w:szCs w:val="28"/>
        </w:rPr>
        <w:t>我公司组织对该项目进行了现场抽样监测</w:t>
      </w:r>
      <w:r>
        <w:rPr>
          <w:rFonts w:hint="default" w:ascii="Times New Roman" w:hAnsi="Times New Roman" w:cs="Times New Roman"/>
          <w:color w:val="000000"/>
          <w:spacing w:val="-40"/>
          <w:sz w:val="28"/>
          <w:szCs w:val="28"/>
        </w:rPr>
        <w:t>，</w:t>
      </w:r>
      <w:r>
        <w:rPr>
          <w:rFonts w:hint="default" w:ascii="Times New Roman" w:hAnsi="Times New Roman" w:cs="Times New Roman"/>
          <w:color w:val="000000"/>
          <w:sz w:val="28"/>
          <w:szCs w:val="28"/>
        </w:rPr>
        <w:t>期间该企业正常生产，生产负荷分别为</w:t>
      </w:r>
      <w:r>
        <w:rPr>
          <w:rFonts w:hint="eastAsia" w:cs="Times New Roman"/>
          <w:color w:val="000000"/>
          <w:sz w:val="28"/>
          <w:szCs w:val="28"/>
          <w:lang w:eastAsia="zh-CN"/>
        </w:rPr>
        <w:t>81.8%</w:t>
      </w:r>
      <w:r>
        <w:rPr>
          <w:rFonts w:hint="default" w:ascii="Times New Roman" w:hAnsi="Times New Roman" w:cs="Times New Roman"/>
          <w:color w:val="000000"/>
          <w:sz w:val="28"/>
          <w:szCs w:val="28"/>
        </w:rPr>
        <w:t>、</w:t>
      </w:r>
      <w:r>
        <w:rPr>
          <w:rFonts w:hint="eastAsia" w:cs="Times New Roman"/>
          <w:color w:val="000000"/>
          <w:sz w:val="28"/>
          <w:szCs w:val="28"/>
          <w:lang w:eastAsia="zh-CN"/>
        </w:rPr>
        <w:t>79.0%</w:t>
      </w:r>
      <w:r>
        <w:rPr>
          <w:rFonts w:hint="default" w:ascii="Times New Roman" w:hAnsi="Times New Roman" w:cs="Times New Roman"/>
          <w:spacing w:val="-40"/>
          <w:sz w:val="28"/>
          <w:szCs w:val="28"/>
        </w:rPr>
        <w:t>。</w:t>
      </w:r>
    </w:p>
    <w:p>
      <w:pPr>
        <w:pStyle w:val="5"/>
        <w:rPr>
          <w:rFonts w:hint="default" w:ascii="Times New Roman" w:hAnsi="Times New Roman" w:cs="Times New Roman"/>
        </w:rPr>
      </w:pPr>
      <w:r>
        <w:rPr>
          <w:rFonts w:hint="default" w:ascii="Times New Roman" w:hAnsi="Times New Roman" w:cs="Times New Roman"/>
        </w:rPr>
        <w:t>11.1.1 废水排放监测结论</w:t>
      </w:r>
    </w:p>
    <w:p>
      <w:pPr>
        <w:tabs>
          <w:tab w:val="left" w:pos="757"/>
        </w:tabs>
        <w:spacing w:line="360" w:lineRule="auto"/>
        <w:ind w:firstLine="560" w:firstLineChars="200"/>
        <w:rPr>
          <w:rFonts w:hint="default" w:ascii="Times New Roman" w:hAnsi="Times New Roman" w:cs="Times New Roman"/>
          <w:color w:val="000000"/>
          <w:sz w:val="28"/>
          <w:szCs w:val="28"/>
        </w:rPr>
      </w:pPr>
      <w:r>
        <w:rPr>
          <w:rFonts w:hint="default" w:ascii="Times New Roman" w:hAnsi="Times New Roman" w:cs="Times New Roman"/>
          <w:sz w:val="28"/>
          <w:szCs w:val="28"/>
        </w:rPr>
        <w:t>验收监测期间，项目生活污水排放口监测结果表明，pH范围、化学需氧量、五日生化需氧量、悬浮物和动植物油类排放浓度均</w:t>
      </w:r>
      <w:r>
        <w:rPr>
          <w:rFonts w:hint="eastAsia" w:cs="Times New Roman"/>
          <w:sz w:val="28"/>
          <w:szCs w:val="28"/>
          <w:lang w:eastAsia="zh-CN"/>
        </w:rPr>
        <w:t>低</w:t>
      </w:r>
      <w:r>
        <w:rPr>
          <w:rFonts w:hint="default" w:ascii="Times New Roman" w:hAnsi="Times New Roman" w:cs="Times New Roman"/>
          <w:sz w:val="28"/>
          <w:szCs w:val="28"/>
        </w:rPr>
        <w:t>于《污水综合排放标准》(GB8978-1996)三级标准限值；氨氮、总磷排放浓度</w:t>
      </w:r>
      <w:r>
        <w:rPr>
          <w:rFonts w:hint="eastAsia" w:cs="Times New Roman"/>
          <w:sz w:val="28"/>
          <w:szCs w:val="28"/>
          <w:lang w:eastAsia="zh-CN"/>
        </w:rPr>
        <w:t>低</w:t>
      </w:r>
      <w:r>
        <w:rPr>
          <w:rFonts w:hint="default" w:ascii="Times New Roman" w:hAnsi="Times New Roman" w:cs="Times New Roman"/>
          <w:sz w:val="28"/>
          <w:szCs w:val="28"/>
        </w:rPr>
        <w:t>于《工业企业废水氮、磷污染物间接排放限值》（DB33/887-2013）中的标准限值</w:t>
      </w:r>
      <w:r>
        <w:rPr>
          <w:rFonts w:hint="eastAsia" w:ascii="Times New Roman" w:hAnsi="Times New Roman" w:cs="Times New Roman"/>
          <w:sz w:val="28"/>
          <w:szCs w:val="28"/>
          <w:lang w:eastAsia="zh-CN"/>
        </w:rPr>
        <w:t>；总氮排放浓度</w:t>
      </w:r>
      <w:r>
        <w:rPr>
          <w:rFonts w:hint="eastAsia" w:cs="Times New Roman"/>
          <w:sz w:val="28"/>
          <w:szCs w:val="28"/>
          <w:lang w:eastAsia="zh-CN"/>
        </w:rPr>
        <w:t>低</w:t>
      </w:r>
      <w:r>
        <w:rPr>
          <w:rFonts w:hint="eastAsia" w:ascii="Times New Roman" w:hAnsi="Times New Roman" w:cs="Times New Roman"/>
          <w:sz w:val="28"/>
          <w:szCs w:val="28"/>
          <w:lang w:eastAsia="zh-CN"/>
        </w:rPr>
        <w:t>于</w:t>
      </w:r>
      <w:r>
        <w:rPr>
          <w:rFonts w:hint="default" w:ascii="Times New Roman" w:hAnsi="Times New Roman" w:cs="Times New Roman"/>
          <w:sz w:val="28"/>
          <w:szCs w:val="28"/>
          <w:lang w:val="en-US" w:eastAsia="zh-CN"/>
        </w:rPr>
        <w:t>《污水排入城镇下水道水质标准》（GB/T 31962—2015）表1B级排放限值</w:t>
      </w:r>
      <w:r>
        <w:rPr>
          <w:rFonts w:hint="default" w:ascii="Times New Roman" w:hAnsi="Times New Roman" w:cs="Times New Roman"/>
          <w:sz w:val="28"/>
          <w:szCs w:val="28"/>
        </w:rPr>
        <w:t>。</w:t>
      </w:r>
    </w:p>
    <w:p>
      <w:pPr>
        <w:pStyle w:val="5"/>
        <w:rPr>
          <w:rFonts w:hint="default" w:ascii="Times New Roman" w:hAnsi="Times New Roman" w:cs="Times New Roman"/>
          <w:color w:val="000000"/>
        </w:rPr>
      </w:pPr>
      <w:r>
        <w:rPr>
          <w:rFonts w:hint="default" w:ascii="Times New Roman" w:hAnsi="Times New Roman" w:cs="Times New Roman"/>
        </w:rPr>
        <w:t>11.1.2 废气排放监测结论</w:t>
      </w:r>
    </w:p>
    <w:p>
      <w:pPr>
        <w:pStyle w:val="75"/>
        <w:ind w:firstLine="536"/>
        <w:jc w:val="both"/>
        <w:rPr>
          <w:rFonts w:hint="default" w:ascii="Times New Roman" w:hAnsi="Times New Roman" w:cs="Times New Roman"/>
          <w:szCs w:val="28"/>
        </w:rPr>
      </w:pPr>
      <w:r>
        <w:rPr>
          <w:rFonts w:hint="default" w:ascii="Times New Roman" w:hAnsi="Times New Roman" w:cs="Times New Roman"/>
          <w:color w:val="000000"/>
          <w:spacing w:val="-6"/>
          <w:sz w:val="28"/>
          <w:szCs w:val="28"/>
        </w:rPr>
        <w:t>验收监测期间，整合提升项目</w:t>
      </w:r>
      <w:r>
        <w:rPr>
          <w:rFonts w:hint="eastAsia" w:ascii="Times New Roman" w:hAnsi="Times New Roman" w:cs="Times New Roman"/>
          <w:color w:val="000000"/>
          <w:spacing w:val="-6"/>
          <w:sz w:val="28"/>
          <w:szCs w:val="28"/>
          <w:lang w:eastAsia="zh-CN"/>
        </w:rPr>
        <w:t>中一楼自动</w:t>
      </w:r>
      <w:r>
        <w:rPr>
          <w:rFonts w:hint="default" w:ascii="Times New Roman" w:hAnsi="Times New Roman" w:cs="Times New Roman"/>
          <w:color w:val="000000"/>
          <w:spacing w:val="-6"/>
          <w:sz w:val="28"/>
          <w:szCs w:val="28"/>
        </w:rPr>
        <w:t>喷漆</w:t>
      </w:r>
      <w:r>
        <w:rPr>
          <w:rFonts w:hint="eastAsia" w:ascii="Times New Roman" w:hAnsi="Times New Roman" w:cs="Times New Roman"/>
          <w:color w:val="000000"/>
          <w:spacing w:val="-6"/>
          <w:sz w:val="28"/>
          <w:szCs w:val="28"/>
          <w:lang w:eastAsia="zh-CN"/>
        </w:rPr>
        <w:t>工序</w:t>
      </w:r>
      <w:r>
        <w:rPr>
          <w:rFonts w:hint="eastAsia" w:cs="Times New Roman"/>
          <w:color w:val="000000"/>
          <w:spacing w:val="-6"/>
          <w:sz w:val="28"/>
          <w:szCs w:val="28"/>
          <w:lang w:eastAsia="zh-CN"/>
        </w:rPr>
        <w:t>、烘干等废气</w:t>
      </w:r>
      <w:r>
        <w:rPr>
          <w:rFonts w:hint="default" w:ascii="Times New Roman" w:hAnsi="Times New Roman" w:cs="Times New Roman"/>
          <w:color w:val="000000"/>
          <w:spacing w:val="-6"/>
          <w:sz w:val="28"/>
          <w:szCs w:val="28"/>
        </w:rPr>
        <w:t>净化后监测结果中的</w:t>
      </w:r>
      <w:r>
        <w:rPr>
          <w:rFonts w:hint="eastAsia" w:ascii="Times New Roman" w:hAnsi="Times New Roman" w:cs="Times New Roman"/>
          <w:color w:val="000000"/>
          <w:spacing w:val="-6"/>
          <w:sz w:val="28"/>
          <w:szCs w:val="28"/>
          <w:lang w:eastAsia="zh-CN"/>
        </w:rPr>
        <w:t>颗粒物、</w:t>
      </w:r>
      <w:r>
        <w:rPr>
          <w:rFonts w:hint="default" w:ascii="Times New Roman" w:hAnsi="Times New Roman" w:cs="Times New Roman"/>
          <w:sz w:val="28"/>
          <w:szCs w:val="28"/>
        </w:rPr>
        <w:t>VOCs、苯系物、乙酸酯类排放浓度均</w:t>
      </w:r>
      <w:r>
        <w:rPr>
          <w:rFonts w:hint="eastAsia" w:ascii="Times New Roman" w:hAnsi="Times New Roman" w:cs="Times New Roman"/>
          <w:sz w:val="28"/>
          <w:szCs w:val="28"/>
          <w:lang w:eastAsia="zh-CN"/>
        </w:rPr>
        <w:t>低</w:t>
      </w:r>
      <w:r>
        <w:rPr>
          <w:rFonts w:hint="default" w:ascii="Times New Roman" w:hAnsi="Times New Roman" w:cs="Times New Roman"/>
          <w:sz w:val="28"/>
          <w:szCs w:val="28"/>
        </w:rPr>
        <w:t>于《工业涂装工序大气污染物排放标准》（DB33/2146-2018）中表</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rPr>
        <w:t>排放限值；</w:t>
      </w:r>
      <w:r>
        <w:rPr>
          <w:rFonts w:hint="eastAsia" w:ascii="Times New Roman" w:hAnsi="Times New Roman" w:cs="Times New Roman"/>
          <w:sz w:val="28"/>
          <w:szCs w:val="28"/>
          <w:lang w:eastAsia="zh-CN"/>
        </w:rPr>
        <w:t>改建项目前处理、镀铬、镀镍废气</w:t>
      </w:r>
      <w:r>
        <w:rPr>
          <w:rFonts w:hint="default" w:ascii="Times New Roman" w:hAnsi="Times New Roman" w:cs="Times New Roman"/>
          <w:sz w:val="28"/>
          <w:szCs w:val="28"/>
        </w:rPr>
        <w:t>净化后监测结果中氯化氢</w:t>
      </w:r>
      <w:r>
        <w:rPr>
          <w:rFonts w:hint="eastAsia" w:ascii="Times New Roman" w:hAnsi="Times New Roman" w:cs="Times New Roman"/>
          <w:sz w:val="28"/>
          <w:szCs w:val="28"/>
          <w:lang w:eastAsia="zh-CN"/>
        </w:rPr>
        <w:t>、硫酸雾、铬酸雾</w:t>
      </w:r>
      <w:r>
        <w:rPr>
          <w:rFonts w:hint="default" w:ascii="Times New Roman" w:hAnsi="Times New Roman" w:cs="Times New Roman"/>
          <w:sz w:val="28"/>
          <w:szCs w:val="28"/>
        </w:rPr>
        <w:t>排放浓度</w:t>
      </w:r>
      <w:r>
        <w:rPr>
          <w:rFonts w:hint="eastAsia" w:ascii="Times New Roman" w:hAnsi="Times New Roman" w:cs="Times New Roman"/>
          <w:sz w:val="28"/>
          <w:szCs w:val="28"/>
          <w:lang w:eastAsia="zh-CN"/>
        </w:rPr>
        <w:t>低</w:t>
      </w:r>
      <w:r>
        <w:rPr>
          <w:rFonts w:hint="default" w:ascii="Times New Roman" w:hAnsi="Times New Roman" w:cs="Times New Roman"/>
          <w:sz w:val="28"/>
          <w:szCs w:val="28"/>
        </w:rPr>
        <w:t>于《电镀污染物排放标准》(GB21900-2008)中表5的相关标准限值</w:t>
      </w:r>
      <w:r>
        <w:rPr>
          <w:rFonts w:hint="default" w:ascii="Times New Roman" w:hAnsi="Times New Roman" w:cs="Times New Roman"/>
          <w:szCs w:val="28"/>
        </w:rPr>
        <w:t>。</w:t>
      </w:r>
    </w:p>
    <w:p>
      <w:pPr>
        <w:pStyle w:val="5"/>
        <w:rPr>
          <w:rFonts w:hint="default" w:ascii="Times New Roman" w:hAnsi="Times New Roman" w:cs="Times New Roman"/>
          <w:color w:val="000000"/>
        </w:rPr>
      </w:pPr>
      <w:r>
        <w:rPr>
          <w:rFonts w:hint="default" w:ascii="Times New Roman" w:hAnsi="Times New Roman" w:cs="Times New Roman"/>
        </w:rPr>
        <w:t>11.1.3 噪声排放监测结论</w:t>
      </w:r>
    </w:p>
    <w:p>
      <w:pPr>
        <w:pStyle w:val="75"/>
        <w:ind w:firstLine="560"/>
        <w:jc w:val="both"/>
        <w:rPr>
          <w:rFonts w:hint="default" w:ascii="Times New Roman" w:hAnsi="Times New Roman" w:cs="Times New Roman"/>
          <w:szCs w:val="28"/>
        </w:rPr>
      </w:pPr>
      <w:r>
        <w:rPr>
          <w:rFonts w:hint="default" w:ascii="Times New Roman" w:hAnsi="Times New Roman" w:cs="Times New Roman"/>
          <w:sz w:val="28"/>
          <w:szCs w:val="28"/>
        </w:rPr>
        <w:t>验收监测期间，根据实际情况于</w:t>
      </w:r>
      <w:r>
        <w:rPr>
          <w:rFonts w:hint="default" w:ascii="Times New Roman" w:hAnsi="Times New Roman" w:cs="Times New Roman"/>
          <w:sz w:val="28"/>
          <w:szCs w:val="28"/>
          <w:lang w:eastAsia="zh-CN"/>
        </w:rPr>
        <w:t>平阳县万鹏表面处理有限公司</w:t>
      </w:r>
      <w:r>
        <w:rPr>
          <w:rFonts w:hint="default" w:ascii="Times New Roman" w:hAnsi="Times New Roman" w:cs="Times New Roman"/>
          <w:sz w:val="28"/>
          <w:szCs w:val="28"/>
        </w:rPr>
        <w:t>厂界东南侧(1号点)、东北侧(2号点)共设置2个噪声测点。其两天昼间监测结果表明，厂界东南侧(1号点)测点噪声达到《工业企业厂界环境噪声排放标准》(GB12348-2008)</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类标准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东北侧(2号点)测点噪声达到</w:t>
      </w:r>
      <w:r>
        <w:rPr>
          <w:rFonts w:hint="eastAsia" w:ascii="Times New Roman" w:hAnsi="Times New Roman" w:cs="Times New Roman"/>
          <w:sz w:val="28"/>
          <w:szCs w:val="28"/>
          <w:lang w:val="en-US" w:eastAsia="zh-CN"/>
        </w:rPr>
        <w:t>3类标准</w:t>
      </w:r>
      <w:r>
        <w:rPr>
          <w:rFonts w:hint="default" w:ascii="Times New Roman" w:hAnsi="Times New Roman" w:cs="Times New Roman"/>
          <w:sz w:val="28"/>
          <w:szCs w:val="28"/>
        </w:rPr>
        <w:t>，现场检测时，</w:t>
      </w:r>
      <w:r>
        <w:rPr>
          <w:rFonts w:hint="eastAsia" w:ascii="Times New Roman" w:hAnsi="Times New Roman" w:cs="Times New Roman"/>
          <w:sz w:val="28"/>
          <w:szCs w:val="28"/>
          <w:lang w:val="en-US" w:eastAsia="zh-CN"/>
        </w:rPr>
        <w:t>1号测点主要声源为二车间生产噪声，2号测点主要声源为一车间生产噪声</w:t>
      </w:r>
      <w:r>
        <w:rPr>
          <w:rFonts w:hint="default" w:ascii="Times New Roman" w:hAnsi="Times New Roman" w:cs="Times New Roman"/>
          <w:szCs w:val="28"/>
        </w:rPr>
        <w:t>。</w:t>
      </w:r>
    </w:p>
    <w:p>
      <w:pPr>
        <w:pStyle w:val="5"/>
        <w:rPr>
          <w:rFonts w:hint="default" w:ascii="Times New Roman" w:hAnsi="Times New Roman" w:cs="Times New Roman"/>
        </w:rPr>
      </w:pPr>
      <w:r>
        <w:rPr>
          <w:rFonts w:hint="default" w:ascii="Times New Roman" w:hAnsi="Times New Roman" w:cs="Times New Roman"/>
        </w:rPr>
        <w:t xml:space="preserve">11.1.4 </w:t>
      </w:r>
      <w:r>
        <w:rPr>
          <w:rFonts w:hint="default" w:ascii="Times New Roman" w:hAnsi="Times New Roman" w:cs="Times New Roman"/>
          <w:szCs w:val="28"/>
        </w:rPr>
        <w:t>固体废物核查结论</w:t>
      </w:r>
    </w:p>
    <w:p>
      <w:pPr>
        <w:tabs>
          <w:tab w:val="left" w:pos="757"/>
        </w:tabs>
        <w:spacing w:line="360" w:lineRule="auto"/>
        <w:ind w:firstLine="560" w:firstLineChars="200"/>
        <w:rPr>
          <w:rFonts w:hint="default" w:ascii="Times New Roman" w:hAnsi="Times New Roman" w:cs="Times New Roman"/>
          <w:sz w:val="28"/>
          <w:szCs w:val="28"/>
        </w:rPr>
      </w:pPr>
      <w:r>
        <w:rPr>
          <w:rFonts w:hint="eastAsia" w:ascii="Times New Roman" w:hAnsi="Times New Roman" w:cs="Times New Roman"/>
          <w:sz w:val="28"/>
          <w:szCs w:val="28"/>
          <w:lang w:val="en-US" w:eastAsia="zh-CN"/>
        </w:rPr>
        <w:t>改</w:t>
      </w:r>
      <w:r>
        <w:rPr>
          <w:rFonts w:hint="default" w:ascii="Times New Roman" w:hAnsi="Times New Roman" w:cs="Times New Roman"/>
          <w:sz w:val="28"/>
          <w:szCs w:val="28"/>
          <w:lang w:val="en-US" w:eastAsia="zh-CN"/>
        </w:rPr>
        <w:t>建项目及迁建整合提升项目</w:t>
      </w:r>
      <w:r>
        <w:rPr>
          <w:rFonts w:hint="eastAsia" w:cs="Times New Roman"/>
          <w:sz w:val="28"/>
          <w:szCs w:val="28"/>
          <w:lang w:val="en-US" w:eastAsia="zh-CN"/>
        </w:rPr>
        <w:t>中的</w:t>
      </w:r>
      <w:r>
        <w:rPr>
          <w:rFonts w:hint="eastAsia" w:ascii="Times New Roman" w:hAnsi="Times New Roman" w:cs="Times New Roman"/>
          <w:sz w:val="28"/>
          <w:szCs w:val="28"/>
          <w:lang w:val="en-US" w:eastAsia="zh-CN"/>
        </w:rPr>
        <w:t>一车间2F自动喷漆车间</w:t>
      </w:r>
      <w:r>
        <w:rPr>
          <w:rFonts w:hint="default" w:ascii="Times New Roman" w:hAnsi="Times New Roman" w:cs="Times New Roman"/>
          <w:sz w:val="28"/>
          <w:szCs w:val="28"/>
          <w:lang w:val="en-US" w:eastAsia="zh-CN"/>
        </w:rPr>
        <w:t>产生的固体废物主要为</w:t>
      </w:r>
      <w:r>
        <w:rPr>
          <w:rFonts w:hint="eastAsia" w:ascii="Times New Roman" w:hAnsi="Times New Roman" w:cs="Times New Roman"/>
          <w:sz w:val="28"/>
          <w:szCs w:val="28"/>
          <w:lang w:val="en-US" w:eastAsia="zh-CN"/>
        </w:rPr>
        <w:t>电镀废渣、废电镀液</w:t>
      </w:r>
      <w:r>
        <w:rPr>
          <w:rFonts w:hint="default" w:ascii="Times New Roman" w:hAnsi="Times New Roman" w:cs="Times New Roman"/>
          <w:sz w:val="28"/>
          <w:szCs w:val="28"/>
          <w:lang w:val="en-US" w:eastAsia="zh-CN"/>
        </w:rPr>
        <w:t>、</w:t>
      </w:r>
      <w:r>
        <w:rPr>
          <w:rFonts w:hint="eastAsia" w:cs="Times New Roman"/>
          <w:sz w:val="28"/>
          <w:szCs w:val="28"/>
          <w:lang w:val="en-US" w:eastAsia="zh-CN"/>
        </w:rPr>
        <w:t>漆渣、</w:t>
      </w:r>
      <w:r>
        <w:rPr>
          <w:rFonts w:hint="default" w:ascii="Times New Roman" w:hAnsi="Times New Roman" w:cs="Times New Roman"/>
          <w:sz w:val="28"/>
          <w:szCs w:val="28"/>
          <w:lang w:val="en-US" w:eastAsia="zh-CN"/>
        </w:rPr>
        <w:t>废活性炭</w:t>
      </w:r>
      <w:r>
        <w:rPr>
          <w:rFonts w:hint="eastAsia" w:ascii="Times New Roman" w:hAnsi="Times New Roman" w:cs="Times New Roman"/>
          <w:sz w:val="28"/>
          <w:szCs w:val="28"/>
          <w:lang w:val="en-US" w:eastAsia="zh-CN"/>
        </w:rPr>
        <w:t>、废包装容器</w:t>
      </w:r>
      <w:r>
        <w:rPr>
          <w:rFonts w:hint="default" w:ascii="Times New Roman" w:hAnsi="Times New Roman" w:cs="Times New Roman"/>
          <w:sz w:val="28"/>
          <w:szCs w:val="28"/>
          <w:lang w:val="en-US" w:eastAsia="zh-CN"/>
        </w:rPr>
        <w:t>，其中</w:t>
      </w:r>
      <w:r>
        <w:rPr>
          <w:rFonts w:hint="eastAsia" w:ascii="Times New Roman" w:hAnsi="Times New Roman" w:cs="Times New Roman"/>
          <w:sz w:val="28"/>
          <w:szCs w:val="28"/>
          <w:lang w:val="en-US" w:eastAsia="zh-CN"/>
        </w:rPr>
        <w:t>电镀废渣、废电镀液</w:t>
      </w:r>
      <w:r>
        <w:rPr>
          <w:rFonts w:hint="default" w:ascii="Times New Roman" w:hAnsi="Times New Roman" w:cs="Times New Roman"/>
          <w:sz w:val="28"/>
          <w:szCs w:val="28"/>
          <w:lang w:val="en-US" w:eastAsia="zh-CN"/>
        </w:rPr>
        <w:t>收集后委托</w:t>
      </w:r>
      <w:r>
        <w:rPr>
          <w:rFonts w:hint="eastAsia" w:ascii="Times New Roman" w:hAnsi="Times New Roman" w:cs="Times New Roman"/>
          <w:sz w:val="28"/>
          <w:szCs w:val="28"/>
          <w:lang w:val="en-US" w:eastAsia="zh-CN"/>
        </w:rPr>
        <w:t>平阳县环源污泥处置有限公司</w:t>
      </w:r>
      <w:r>
        <w:rPr>
          <w:rFonts w:hint="default" w:ascii="Times New Roman" w:hAnsi="Times New Roman" w:cs="Times New Roman"/>
          <w:sz w:val="28"/>
          <w:szCs w:val="28"/>
          <w:lang w:val="en-US" w:eastAsia="zh-CN"/>
        </w:rPr>
        <w:t>清运处置；</w:t>
      </w:r>
      <w:r>
        <w:rPr>
          <w:rFonts w:hint="eastAsia" w:ascii="Times New Roman" w:hAnsi="Times New Roman" w:cs="Times New Roman"/>
          <w:sz w:val="28"/>
          <w:szCs w:val="28"/>
          <w:lang w:val="en-US" w:eastAsia="zh-CN"/>
        </w:rPr>
        <w:t>废包装容器</w:t>
      </w:r>
      <w:r>
        <w:rPr>
          <w:rFonts w:hint="eastAsia" w:cs="Times New Roman"/>
          <w:sz w:val="28"/>
          <w:szCs w:val="28"/>
          <w:lang w:val="en-US" w:eastAsia="zh-CN"/>
        </w:rPr>
        <w:t>委托兰溪自立环保科技有限公司清运处置；漆渣、</w:t>
      </w:r>
      <w:r>
        <w:rPr>
          <w:rFonts w:hint="default" w:ascii="Times New Roman" w:hAnsi="Times New Roman" w:cs="Times New Roman"/>
          <w:sz w:val="28"/>
          <w:szCs w:val="28"/>
          <w:lang w:val="en-US" w:eastAsia="zh-CN"/>
        </w:rPr>
        <w:t>废活性炭暂存，待联系并签订好协议后委托有资质的单位处理；生活垃圾委托环卫部门清运处理</w:t>
      </w:r>
      <w:r>
        <w:rPr>
          <w:rFonts w:hint="default" w:ascii="Times New Roman" w:hAnsi="Times New Roman" w:cs="Times New Roman"/>
          <w:sz w:val="28"/>
          <w:szCs w:val="28"/>
        </w:rPr>
        <w:t>。</w:t>
      </w:r>
    </w:p>
    <w:p>
      <w:pPr>
        <w:pStyle w:val="5"/>
        <w:rPr>
          <w:rFonts w:hint="default" w:ascii="Times New Roman" w:hAnsi="Times New Roman" w:cs="Times New Roman"/>
        </w:rPr>
      </w:pPr>
      <w:r>
        <w:rPr>
          <w:rFonts w:hint="default" w:ascii="Times New Roman" w:hAnsi="Times New Roman" w:cs="Times New Roman"/>
        </w:rPr>
        <w:t>11.1.5 总量控制结论</w:t>
      </w:r>
    </w:p>
    <w:p>
      <w:pPr>
        <w:tabs>
          <w:tab w:val="left" w:pos="757"/>
        </w:tabs>
        <w:spacing w:line="360" w:lineRule="auto"/>
        <w:ind w:firstLine="536" w:firstLineChars="200"/>
        <w:rPr>
          <w:rFonts w:hint="default" w:ascii="Times New Roman" w:hAnsi="Times New Roman" w:cs="Times New Roman"/>
          <w:sz w:val="28"/>
          <w:szCs w:val="28"/>
        </w:rPr>
      </w:pPr>
      <w:r>
        <w:rPr>
          <w:rFonts w:hint="default" w:ascii="Times New Roman" w:hAnsi="Times New Roman" w:cs="Times New Roman"/>
          <w:spacing w:val="-6"/>
          <w:sz w:val="28"/>
          <w:szCs w:val="28"/>
        </w:rPr>
        <w:t>项目</w:t>
      </w:r>
      <w:r>
        <w:rPr>
          <w:rFonts w:hint="default" w:ascii="Times New Roman" w:hAnsi="Times New Roman" w:cs="Times New Roman"/>
          <w:color w:val="000000" w:themeColor="text1"/>
          <w:sz w:val="28"/>
          <w14:textFill>
            <w14:solidFill>
              <w14:schemeClr w14:val="tx1"/>
            </w14:solidFill>
          </w14:textFill>
        </w:rPr>
        <w:t>废水年排放</w:t>
      </w:r>
      <w:r>
        <w:rPr>
          <w:rFonts w:hint="eastAsia" w:cs="Times New Roman"/>
          <w:color w:val="000000" w:themeColor="text1"/>
          <w:sz w:val="28"/>
          <w:lang w:val="en-US" w:eastAsia="zh-CN"/>
          <w14:textFill>
            <w14:solidFill>
              <w14:schemeClr w14:val="tx1"/>
            </w14:solidFill>
          </w14:textFill>
        </w:rPr>
        <w:t>32024</w:t>
      </w:r>
      <w:r>
        <w:rPr>
          <w:rFonts w:hint="default" w:ascii="Times New Roman" w:hAnsi="Times New Roman" w:cs="Times New Roman"/>
          <w:color w:val="000000" w:themeColor="text1"/>
          <w:sz w:val="28"/>
          <w14:textFill>
            <w14:solidFill>
              <w14:schemeClr w14:val="tx1"/>
            </w14:solidFill>
          </w14:textFill>
        </w:rPr>
        <w:t>吨</w:t>
      </w:r>
      <w:r>
        <w:rPr>
          <w:rFonts w:hint="default" w:ascii="Times New Roman" w:hAnsi="Times New Roman" w:cs="Times New Roman"/>
          <w:sz w:val="28"/>
          <w:szCs w:val="28"/>
        </w:rPr>
        <w:t>，因此主要污染物的年排放量为化学需氧量</w:t>
      </w:r>
      <w:r>
        <w:rPr>
          <w:rFonts w:hint="eastAsia" w:cs="Times New Roman"/>
          <w:sz w:val="28"/>
          <w:szCs w:val="28"/>
          <w:lang w:val="en-US" w:eastAsia="zh-CN"/>
        </w:rPr>
        <w:t>1.60</w:t>
      </w:r>
      <w:r>
        <w:rPr>
          <w:rFonts w:hint="default" w:ascii="Times New Roman" w:hAnsi="Times New Roman" w:cs="Times New Roman"/>
          <w:sz w:val="28"/>
          <w:szCs w:val="28"/>
        </w:rPr>
        <w:t>t/a</w:t>
      </w:r>
      <w:r>
        <w:rPr>
          <w:rFonts w:hint="default" w:ascii="Times New Roman" w:hAnsi="Times New Roman" w:cs="Times New Roman"/>
          <w:spacing w:val="-40"/>
          <w:sz w:val="28"/>
          <w:szCs w:val="28"/>
        </w:rPr>
        <w:t>、</w:t>
      </w:r>
      <w:r>
        <w:rPr>
          <w:rFonts w:hint="default" w:ascii="Times New Roman" w:hAnsi="Times New Roman" w:cs="Times New Roman"/>
          <w:sz w:val="28"/>
          <w:szCs w:val="28"/>
        </w:rPr>
        <w:t>氨氮</w:t>
      </w:r>
      <w:r>
        <w:rPr>
          <w:rFonts w:hint="eastAsia" w:cs="Times New Roman"/>
          <w:sz w:val="28"/>
          <w:szCs w:val="28"/>
          <w:lang w:val="en-US" w:eastAsia="zh-CN"/>
        </w:rPr>
        <w:t>0.160</w:t>
      </w:r>
      <w:r>
        <w:rPr>
          <w:rFonts w:hint="default" w:ascii="Times New Roman" w:hAnsi="Times New Roman" w:cs="Times New Roman"/>
          <w:sz w:val="28"/>
          <w:szCs w:val="28"/>
        </w:rPr>
        <w:t>t/a</w:t>
      </w:r>
      <w:r>
        <w:rPr>
          <w:rFonts w:hint="default" w:ascii="Times New Roman" w:hAnsi="Times New Roman" w:cs="Times New Roman"/>
          <w:color w:val="000000" w:themeColor="text1"/>
          <w:kern w:val="0"/>
          <w:sz w:val="28"/>
          <w:szCs w:val="28"/>
          <w14:textFill>
            <w14:solidFill>
              <w14:schemeClr w14:val="tx1"/>
            </w14:solidFill>
          </w14:textFill>
        </w:rPr>
        <w:t>，</w:t>
      </w:r>
      <w:r>
        <w:rPr>
          <w:rFonts w:hint="default" w:ascii="Times New Roman" w:hAnsi="Times New Roman" w:cs="Times New Roman"/>
          <w:sz w:val="28"/>
          <w:szCs w:val="28"/>
        </w:rPr>
        <w:t>均符合环评提出的控制指标要求。</w:t>
      </w:r>
    </w:p>
    <w:p>
      <w:pPr>
        <w:pStyle w:val="5"/>
        <w:rPr>
          <w:rFonts w:hint="default" w:ascii="Times New Roman" w:hAnsi="Times New Roman" w:cs="Times New Roman"/>
        </w:rPr>
      </w:pPr>
      <w:bookmarkStart w:id="259" w:name="_Toc523410811"/>
      <w:bookmarkStart w:id="260" w:name="_Toc439832601"/>
      <w:bookmarkStart w:id="261" w:name="_Toc495472597"/>
      <w:bookmarkStart w:id="262" w:name="_Toc2867154"/>
      <w:bookmarkStart w:id="263" w:name="_Toc458465343"/>
      <w:r>
        <w:rPr>
          <w:rFonts w:hint="default" w:ascii="Times New Roman" w:hAnsi="Times New Roman" w:cs="Times New Roman"/>
        </w:rPr>
        <w:t>11.1.6 整治提升成效结论</w:t>
      </w:r>
    </w:p>
    <w:p>
      <w:pPr>
        <w:adjustRightInd w:val="0"/>
        <w:snapToGrid w:val="0"/>
        <w:spacing w:line="360" w:lineRule="auto"/>
        <w:ind w:firstLine="560" w:firstLineChars="200"/>
        <w:outlineLvl w:val="0"/>
        <w:rPr>
          <w:rFonts w:hint="default" w:ascii="Times New Roman" w:hAnsi="Times New Roman" w:cs="Times New Roman"/>
          <w:bCs/>
          <w:sz w:val="28"/>
          <w:szCs w:val="28"/>
        </w:rPr>
      </w:pPr>
      <w:r>
        <w:rPr>
          <w:rFonts w:hint="default" w:ascii="Times New Roman" w:hAnsi="Times New Roman" w:cs="Times New Roman"/>
          <w:bCs/>
          <w:sz w:val="28"/>
          <w:szCs w:val="28"/>
        </w:rPr>
        <w:t>根据</w:t>
      </w:r>
      <w:r>
        <w:rPr>
          <w:rFonts w:hint="default" w:ascii="Times New Roman" w:hAnsi="Times New Roman" w:cs="Times New Roman"/>
          <w:color w:val="000000"/>
          <w:sz w:val="28"/>
        </w:rPr>
        <w:t>《关于印发工业涂装等3个行业挥发性有机物（VOCs）控制技术指导意见的通知》（温环发〔2019〕14号）</w:t>
      </w:r>
      <w:r>
        <w:rPr>
          <w:rFonts w:hint="default" w:ascii="Times New Roman" w:hAnsi="Times New Roman" w:cs="Times New Roman"/>
          <w:bCs/>
          <w:sz w:val="28"/>
          <w:szCs w:val="28"/>
        </w:rPr>
        <w:t>等文件要求，我司组织开展了污染整治成效评估工作。</w:t>
      </w:r>
    </w:p>
    <w:p>
      <w:pPr>
        <w:adjustRightInd w:val="0"/>
        <w:snapToGrid w:val="0"/>
        <w:spacing w:line="360" w:lineRule="auto"/>
        <w:ind w:firstLine="560" w:firstLineChars="200"/>
        <w:outlineLvl w:val="0"/>
        <w:rPr>
          <w:rFonts w:hint="default" w:ascii="Times New Roman" w:hAnsi="Times New Roman" w:cs="Times New Roman"/>
          <w:sz w:val="28"/>
          <w:szCs w:val="28"/>
        </w:rPr>
      </w:pPr>
      <w:r>
        <w:rPr>
          <w:rFonts w:hint="default" w:ascii="Times New Roman" w:hAnsi="Times New Roman" w:cs="Times New Roman"/>
          <w:bCs/>
          <w:sz w:val="28"/>
          <w:szCs w:val="28"/>
        </w:rPr>
        <w:t>对照</w:t>
      </w:r>
      <w:r>
        <w:rPr>
          <w:rFonts w:hint="default" w:ascii="Times New Roman" w:hAnsi="Times New Roman" w:cs="Times New Roman"/>
          <w:sz w:val="28"/>
          <w:szCs w:val="28"/>
        </w:rPr>
        <w:t>《温州市工业涂装企业污染整治提升技术指南》中各个考核指标，企业逐一进行自查。自查结果表明，企业已基本完成考核指标中生产合法性、废气收集与处理、废水处理等方面要求。主要问题存在于废气去除率、</w:t>
      </w:r>
      <w:r>
        <w:rPr>
          <w:rFonts w:hint="eastAsia" w:cs="Times New Roman"/>
          <w:sz w:val="28"/>
          <w:szCs w:val="28"/>
          <w:lang w:eastAsia="zh-CN"/>
        </w:rPr>
        <w:t>危废</w:t>
      </w:r>
      <w:r>
        <w:rPr>
          <w:rFonts w:hint="default" w:ascii="Times New Roman" w:hAnsi="Times New Roman" w:cs="Times New Roman"/>
          <w:sz w:val="28"/>
          <w:szCs w:val="28"/>
        </w:rPr>
        <w:t>处理及监督管理方面，通过此次整改评估工作，按照相关要求落实不足之处。</w:t>
      </w:r>
    </w:p>
    <w:p>
      <w:pPr>
        <w:adjustRightInd w:val="0"/>
        <w:snapToGrid w:val="0"/>
        <w:spacing w:line="360" w:lineRule="auto"/>
        <w:ind w:firstLine="560" w:firstLineChars="200"/>
        <w:outlineLvl w:val="0"/>
        <w:rPr>
          <w:rFonts w:hint="default" w:ascii="Times New Roman" w:hAnsi="Times New Roman" w:cs="Times New Roman"/>
          <w:sz w:val="28"/>
          <w:szCs w:val="28"/>
        </w:rPr>
      </w:pPr>
      <w:r>
        <w:rPr>
          <w:rFonts w:hint="default" w:ascii="Times New Roman" w:hAnsi="Times New Roman" w:cs="Times New Roman"/>
          <w:sz w:val="28"/>
          <w:szCs w:val="28"/>
        </w:rPr>
        <w:t>在自查过程中，通过发现厂内存在的问题和不足，逐一整改、落实，完成了相关文件要求，达到污染整治提升目的，取得一定成效。</w:t>
      </w:r>
    </w:p>
    <w:p>
      <w:pPr>
        <w:adjustRightInd w:val="0"/>
        <w:snapToGrid w:val="0"/>
        <w:spacing w:line="360" w:lineRule="auto"/>
        <w:ind w:firstLine="560" w:firstLineChars="200"/>
        <w:outlineLvl w:val="0"/>
        <w:rPr>
          <w:rFonts w:hint="default" w:ascii="Times New Roman" w:hAnsi="Times New Roman" w:cs="Times New Roman"/>
          <w:bCs/>
          <w:sz w:val="28"/>
          <w:szCs w:val="28"/>
        </w:rPr>
      </w:pPr>
      <w:r>
        <w:rPr>
          <w:rFonts w:hint="default" w:ascii="Times New Roman" w:hAnsi="Times New Roman" w:cs="Times New Roman"/>
          <w:bCs/>
          <w:sz w:val="28"/>
          <w:szCs w:val="28"/>
        </w:rPr>
        <w:t>根据</w:t>
      </w:r>
      <w:r>
        <w:rPr>
          <w:rFonts w:hint="default" w:ascii="Times New Roman" w:hAnsi="Times New Roman" w:cs="Times New Roman"/>
          <w:color w:val="000000"/>
          <w:sz w:val="28"/>
        </w:rPr>
        <w:t>《关于进一步加强电镀行业环境污染防治工作的通知》（温环通[2018]6号）中的《温州市电镀企业污染防治措施细化要求》</w:t>
      </w:r>
      <w:r>
        <w:rPr>
          <w:rFonts w:hint="default" w:ascii="Times New Roman" w:hAnsi="Times New Roman" w:cs="Times New Roman"/>
          <w:bCs/>
          <w:sz w:val="28"/>
          <w:szCs w:val="28"/>
        </w:rPr>
        <w:t>，我司组织开展了污染防治措施评估工作。</w:t>
      </w:r>
    </w:p>
    <w:p>
      <w:pPr>
        <w:adjustRightInd w:val="0"/>
        <w:snapToGrid w:val="0"/>
        <w:spacing w:line="360" w:lineRule="auto"/>
        <w:ind w:firstLine="560" w:firstLineChars="200"/>
        <w:outlineLvl w:val="0"/>
        <w:rPr>
          <w:rFonts w:hint="default" w:ascii="Times New Roman" w:hAnsi="Times New Roman" w:cs="Times New Roman"/>
          <w:sz w:val="28"/>
          <w:szCs w:val="28"/>
        </w:rPr>
      </w:pPr>
      <w:r>
        <w:rPr>
          <w:rFonts w:hint="default" w:ascii="Times New Roman" w:hAnsi="Times New Roman" w:cs="Times New Roman"/>
          <w:bCs/>
          <w:sz w:val="28"/>
          <w:szCs w:val="28"/>
        </w:rPr>
        <w:t>对照</w:t>
      </w:r>
      <w:r>
        <w:rPr>
          <w:rFonts w:hint="default" w:ascii="Times New Roman" w:hAnsi="Times New Roman" w:cs="Times New Roman"/>
          <w:color w:val="000000"/>
          <w:sz w:val="28"/>
        </w:rPr>
        <w:t>《温州市电镀企业污染防治措施细化要求》</w:t>
      </w:r>
      <w:r>
        <w:rPr>
          <w:rFonts w:hint="default" w:ascii="Times New Roman" w:hAnsi="Times New Roman" w:cs="Times New Roman"/>
          <w:sz w:val="28"/>
          <w:szCs w:val="28"/>
        </w:rPr>
        <w:t>中各个考核指标，企业逐一进行自查。自查结果表明，企业已基本完成考核指标中生产现场、废水收集、废气收集与处理等要求。主要问题存在于运行监控系统和环保管理信息平台方面，通过此次防治措施评估工作，按照相关要求落实不足之处。</w:t>
      </w:r>
    </w:p>
    <w:p>
      <w:pPr>
        <w:adjustRightInd w:val="0"/>
        <w:snapToGrid w:val="0"/>
        <w:spacing w:line="360" w:lineRule="auto"/>
        <w:ind w:firstLine="560" w:firstLineChars="200"/>
        <w:outlineLvl w:val="0"/>
        <w:rPr>
          <w:rFonts w:hint="eastAsia" w:ascii="Times New Roman" w:hAnsi="Times New Roman" w:eastAsia="宋体" w:cs="Times New Roman"/>
          <w:sz w:val="28"/>
          <w:szCs w:val="28"/>
          <w:lang w:eastAsia="zh-CN"/>
        </w:rPr>
      </w:pPr>
      <w:r>
        <w:rPr>
          <w:rFonts w:hint="default" w:ascii="Times New Roman" w:hAnsi="Times New Roman" w:cs="Times New Roman"/>
          <w:sz w:val="28"/>
          <w:szCs w:val="28"/>
        </w:rPr>
        <w:t>在自查过程中，通过发现厂</w:t>
      </w:r>
      <w:r>
        <w:rPr>
          <w:rFonts w:hint="default" w:ascii="Times New Roman" w:hAnsi="Times New Roman" w:cs="Times New Roman"/>
          <w:bCs/>
          <w:sz w:val="28"/>
          <w:szCs w:val="28"/>
        </w:rPr>
        <w:t>内存在的问题和不足，逐一整改、落实，完成了相关文件要求，达到做好对应污染物防治措施目的，取得一定成效。</w:t>
      </w:r>
    </w:p>
    <w:p>
      <w:pPr>
        <w:pStyle w:val="34"/>
        <w:spacing w:beforeLines="0"/>
        <w:rPr>
          <w:rFonts w:hint="default" w:ascii="Times New Roman" w:hAnsi="Times New Roman" w:cs="Times New Roman"/>
        </w:rPr>
      </w:pPr>
      <w:r>
        <w:rPr>
          <w:rFonts w:hint="default" w:ascii="Times New Roman" w:hAnsi="Times New Roman" w:cs="Times New Roman"/>
        </w:rPr>
        <w:t>11.2 建议</w:t>
      </w:r>
      <w:bookmarkEnd w:id="259"/>
      <w:bookmarkEnd w:id="260"/>
      <w:bookmarkEnd w:id="261"/>
      <w:bookmarkEnd w:id="262"/>
      <w:bookmarkEnd w:id="263"/>
    </w:p>
    <w:bookmarkEnd w:id="80"/>
    <w:bookmarkEnd w:id="81"/>
    <w:bookmarkEnd w:id="257"/>
    <w:bookmarkEnd w:id="258"/>
    <w:p>
      <w:pPr>
        <w:pStyle w:val="75"/>
        <w:snapToGrid/>
        <w:ind w:firstLine="560"/>
        <w:rPr>
          <w:rFonts w:hint="default" w:ascii="Times New Roman" w:hAnsi="Times New Roman" w:cs="Times New Roman"/>
          <w:color w:val="000000"/>
        </w:rPr>
      </w:pPr>
      <w:r>
        <w:rPr>
          <w:rFonts w:hint="default" w:ascii="Times New Roman" w:hAnsi="Times New Roman" w:cs="Times New Roman"/>
          <w:kern w:val="2"/>
          <w:szCs w:val="28"/>
        </w:rPr>
        <w:t>1、</w:t>
      </w:r>
      <w:r>
        <w:rPr>
          <w:rFonts w:hint="default" w:ascii="Times New Roman" w:hAnsi="Times New Roman" w:cs="Times New Roman"/>
          <w:color w:val="000000"/>
        </w:rPr>
        <w:t>根据原温州市环境保护局《关于印发工业涂装等企业污染整治提升技术指南的通知》（温环发〔2018〕100号）中的附件3《温州市工业涂装企业污染整治提升技术指南》要求，</w:t>
      </w:r>
      <w:r>
        <w:rPr>
          <w:rFonts w:hint="default" w:ascii="Times New Roman" w:hAnsi="Times New Roman" w:cs="Times New Roman"/>
          <w:kern w:val="2"/>
          <w:szCs w:val="28"/>
        </w:rPr>
        <w:t>进一步完善废气收集系统和处理设</w:t>
      </w:r>
      <w:r>
        <w:rPr>
          <w:rFonts w:hint="default" w:ascii="Times New Roman" w:hAnsi="Times New Roman" w:cs="Times New Roman"/>
          <w:color w:val="000000"/>
        </w:rPr>
        <w:t>施，提高废气收集率与去除率，减少无组织排放；及时做好固废处理及监督管理。</w:t>
      </w:r>
    </w:p>
    <w:p>
      <w:pPr>
        <w:pStyle w:val="75"/>
        <w:snapToGrid/>
        <w:ind w:firstLine="560"/>
        <w:rPr>
          <w:rFonts w:hint="eastAsia" w:ascii="Times New Roman" w:hAnsi="Times New Roman" w:eastAsia="宋体" w:cs="Times New Roman"/>
          <w:color w:val="000000"/>
          <w:lang w:eastAsia="zh-CN"/>
        </w:rPr>
      </w:pPr>
      <w:r>
        <w:rPr>
          <w:rFonts w:hint="default" w:ascii="Times New Roman" w:hAnsi="Times New Roman" w:cs="Times New Roman"/>
          <w:color w:val="000000"/>
        </w:rPr>
        <w:t>根据《关于进一步加强电镀行业环境污染防治工作的通知》（温环通[2018]6号）中的《温州市电镀企业污染防治措施细化要求》</w:t>
      </w:r>
      <w:r>
        <w:rPr>
          <w:rFonts w:hint="eastAsia" w:ascii="Times New Roman" w:hAnsi="Times New Roman" w:cs="Times New Roman"/>
          <w:color w:val="000000"/>
          <w:lang w:eastAsia="zh-CN"/>
        </w:rPr>
        <w:t>要求，进一步完善</w:t>
      </w:r>
      <w:r>
        <w:rPr>
          <w:rFonts w:hint="default" w:ascii="Times New Roman" w:hAnsi="Times New Roman" w:cs="Times New Roman"/>
          <w:sz w:val="28"/>
          <w:szCs w:val="28"/>
        </w:rPr>
        <w:t>运行监控系统</w:t>
      </w:r>
      <w:r>
        <w:rPr>
          <w:rFonts w:hint="eastAsia" w:ascii="Times New Roman" w:hAnsi="Times New Roman" w:cs="Times New Roman"/>
          <w:sz w:val="28"/>
          <w:szCs w:val="28"/>
          <w:lang w:eastAsia="zh-CN"/>
        </w:rPr>
        <w:t>，做好</w:t>
      </w:r>
      <w:r>
        <w:rPr>
          <w:rFonts w:hint="default" w:ascii="Times New Roman" w:hAnsi="Times New Roman" w:cs="Times New Roman"/>
          <w:sz w:val="28"/>
          <w:szCs w:val="28"/>
        </w:rPr>
        <w:t>环保管理信息平台</w:t>
      </w:r>
      <w:r>
        <w:rPr>
          <w:rFonts w:hint="eastAsia" w:ascii="Times New Roman" w:hAnsi="Times New Roman" w:cs="Times New Roman"/>
          <w:sz w:val="28"/>
          <w:szCs w:val="28"/>
          <w:lang w:eastAsia="zh-CN"/>
        </w:rPr>
        <w:t>的记录。</w:t>
      </w:r>
    </w:p>
    <w:p>
      <w:pPr>
        <w:pStyle w:val="75"/>
        <w:snapToGrid/>
        <w:ind w:firstLine="560"/>
        <w:rPr>
          <w:rFonts w:hint="default" w:ascii="Times New Roman" w:hAnsi="Times New Roman" w:cs="Times New Roman"/>
          <w:color w:val="000000"/>
        </w:rPr>
      </w:pPr>
      <w:r>
        <w:rPr>
          <w:rFonts w:hint="default" w:ascii="Times New Roman" w:hAnsi="Times New Roman" w:cs="Times New Roman"/>
          <w:color w:val="000000"/>
        </w:rPr>
        <w:t>2、</w:t>
      </w:r>
      <w:r>
        <w:rPr>
          <w:rFonts w:hint="eastAsia" w:ascii="Times New Roman" w:hAnsi="Times New Roman" w:cs="Times New Roman"/>
          <w:color w:val="000000"/>
          <w:lang w:eastAsia="zh-CN"/>
        </w:rPr>
        <w:t>优化</w:t>
      </w:r>
      <w:r>
        <w:rPr>
          <w:rFonts w:hint="default" w:ascii="Times New Roman" w:hAnsi="Times New Roman" w:cs="Times New Roman"/>
          <w:color w:val="000000"/>
          <w:lang w:eastAsia="zh-CN"/>
        </w:rPr>
        <w:t>废气</w:t>
      </w:r>
      <w:r>
        <w:rPr>
          <w:rFonts w:hint="eastAsia" w:ascii="Times New Roman" w:hAnsi="Times New Roman" w:cs="Times New Roman"/>
          <w:color w:val="000000"/>
          <w:lang w:eastAsia="zh-CN"/>
        </w:rPr>
        <w:t>收集系统，提高废气收集率及去除率。</w:t>
      </w:r>
      <w:r>
        <w:rPr>
          <w:rFonts w:hint="default" w:ascii="Times New Roman" w:hAnsi="Times New Roman" w:cs="Times New Roman"/>
          <w:color w:val="000000"/>
        </w:rPr>
        <w:t>定期开展外排污染物的自检监测工作，及时发现问题，采取有效措施，确保外排污染物长期稳定达标排放。</w:t>
      </w:r>
    </w:p>
    <w:p>
      <w:pPr>
        <w:pStyle w:val="75"/>
        <w:snapToGrid/>
        <w:ind w:firstLine="560"/>
        <w:rPr>
          <w:rFonts w:hint="default" w:ascii="Times New Roman" w:hAnsi="Times New Roman" w:cs="Times New Roman"/>
          <w:color w:val="000000"/>
          <w:szCs w:val="28"/>
        </w:rPr>
      </w:pPr>
      <w:r>
        <w:rPr>
          <w:rFonts w:hint="default" w:ascii="Times New Roman" w:hAnsi="Times New Roman" w:cs="Times New Roman"/>
          <w:kern w:val="2"/>
          <w:szCs w:val="28"/>
        </w:rPr>
        <w:t>3、</w:t>
      </w:r>
      <w:r>
        <w:rPr>
          <w:rFonts w:hint="default" w:ascii="Times New Roman" w:hAnsi="Times New Roman" w:cs="Times New Roman"/>
          <w:color w:val="000000"/>
          <w:szCs w:val="28"/>
        </w:rPr>
        <w:t>加强污染治理设施的运行管理，定期检查、维修，使其长期处于最佳运行状态。</w:t>
      </w:r>
    </w:p>
    <w:p>
      <w:pPr>
        <w:pStyle w:val="75"/>
        <w:snapToGrid/>
        <w:ind w:firstLine="560"/>
        <w:rPr>
          <w:rFonts w:hint="default" w:ascii="Times New Roman" w:hAnsi="Times New Roman" w:cs="Times New Roman"/>
          <w:color w:val="000000"/>
          <w:szCs w:val="28"/>
        </w:rPr>
      </w:pPr>
      <w:r>
        <w:rPr>
          <w:rFonts w:hint="default" w:ascii="Times New Roman" w:hAnsi="Times New Roman" w:cs="Times New Roman"/>
          <w:kern w:val="2"/>
          <w:szCs w:val="28"/>
        </w:rPr>
        <w:t>4、</w:t>
      </w:r>
      <w:r>
        <w:rPr>
          <w:rFonts w:hint="default" w:ascii="Times New Roman" w:hAnsi="Times New Roman" w:cs="Times New Roman"/>
          <w:color w:val="000000"/>
          <w:szCs w:val="28"/>
        </w:rPr>
        <w:t>加强各种固体废物的管理，按规范设置危废的暂存场所和标识，尽快与有</w:t>
      </w:r>
      <w:r>
        <w:rPr>
          <w:rFonts w:hint="default" w:ascii="Times New Roman" w:hAnsi="Times New Roman" w:cs="Times New Roman"/>
          <w:szCs w:val="28"/>
        </w:rPr>
        <w:t>资质的单位签订</w:t>
      </w:r>
      <w:r>
        <w:rPr>
          <w:rFonts w:hint="eastAsia" w:ascii="Times New Roman" w:hAnsi="Times New Roman" w:cs="Times New Roman"/>
          <w:szCs w:val="28"/>
          <w:lang w:eastAsia="zh-CN"/>
        </w:rPr>
        <w:t>漆渣、废活性炭的危废</w:t>
      </w:r>
      <w:r>
        <w:rPr>
          <w:rFonts w:hint="default" w:ascii="Times New Roman" w:hAnsi="Times New Roman" w:cs="Times New Roman"/>
          <w:szCs w:val="28"/>
        </w:rPr>
        <w:t>处理协议，</w:t>
      </w:r>
      <w:r>
        <w:rPr>
          <w:rFonts w:hint="default" w:ascii="Times New Roman" w:hAnsi="Times New Roman" w:cs="Times New Roman"/>
          <w:color w:val="000000"/>
          <w:szCs w:val="28"/>
        </w:rPr>
        <w:t>及时处置固体废物。</w:t>
      </w:r>
    </w:p>
    <w:p>
      <w:pPr>
        <w:pStyle w:val="75"/>
        <w:snapToGrid/>
        <w:ind w:firstLine="560"/>
        <w:rPr>
          <w:rFonts w:hint="default" w:ascii="Times New Roman" w:hAnsi="Times New Roman" w:cs="Times New Roman"/>
          <w:color w:val="FF0000"/>
          <w:szCs w:val="28"/>
        </w:rPr>
        <w:sectPr>
          <w:headerReference r:id="rId10" w:type="default"/>
          <w:footerReference r:id="rId11" w:type="default"/>
          <w:pgSz w:w="11907" w:h="16840"/>
          <w:pgMar w:top="1418" w:right="1418" w:bottom="1021" w:left="1418" w:header="851" w:footer="794" w:gutter="284"/>
          <w:cols w:space="720" w:num="1"/>
          <w:docGrid w:linePitch="289" w:charSpace="0"/>
        </w:sectPr>
      </w:pPr>
      <w:r>
        <w:rPr>
          <w:rFonts w:hint="default" w:ascii="Times New Roman" w:hAnsi="Times New Roman" w:cs="Times New Roman"/>
          <w:color w:val="000000"/>
          <w:szCs w:val="28"/>
        </w:rPr>
        <w:t>5、</w:t>
      </w:r>
      <w:r>
        <w:rPr>
          <w:rFonts w:hint="default" w:ascii="Times New Roman" w:hAnsi="Times New Roman" w:cs="Times New Roman"/>
          <w:szCs w:val="28"/>
        </w:rPr>
        <w:t>如实记录产生挥发性废气油漆等物料采购量与使用量，</w:t>
      </w:r>
      <w:r>
        <w:rPr>
          <w:rFonts w:hint="default" w:ascii="Times New Roman" w:hAnsi="Times New Roman" w:cs="Times New Roman"/>
          <w:color w:val="000000"/>
          <w:szCs w:val="28"/>
        </w:rPr>
        <w:t>建立健全完善的管理台帐和相应制度，</w:t>
      </w:r>
      <w:r>
        <w:rPr>
          <w:rFonts w:hint="default" w:ascii="Times New Roman" w:hAnsi="Times New Roman" w:cs="Times New Roman"/>
          <w:szCs w:val="28"/>
        </w:rPr>
        <w:t>并确保台账保存期限不少于三年。</w:t>
      </w:r>
    </w:p>
    <w:p>
      <w:pPr>
        <w:pStyle w:val="78"/>
        <w:ind w:left="-237" w:leftChars="-113" w:right="-197" w:rightChars="-94" w:firstLine="0"/>
        <w:jc w:val="both"/>
        <w:rPr>
          <w:rFonts w:hint="eastAsia" w:ascii="Times New Roman" w:hAnsi="Times New Roman" w:eastAsia="宋体" w:cs="Times New Roman"/>
          <w:lang w:eastAsia="zh-CN"/>
        </w:rPr>
        <w:sectPr>
          <w:headerReference r:id="rId12" w:type="default"/>
          <w:footerReference r:id="rId13" w:type="default"/>
          <w:pgSz w:w="11907" w:h="16840"/>
          <w:pgMar w:top="238" w:right="244" w:bottom="249" w:left="238" w:header="0" w:footer="0" w:gutter="0"/>
          <w:cols w:space="720" w:num="1"/>
          <w:docGrid w:linePitch="289" w:charSpace="0"/>
        </w:sectPr>
      </w:pPr>
      <w:bookmarkStart w:id="264" w:name="_GoBack"/>
      <w:bookmarkEnd w:id="264"/>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b/>
                                <w:sz w:val="28"/>
                                <w:szCs w:val="28"/>
                              </w:rPr>
                            </w:pPr>
                            <w:r>
                              <w:rPr>
                                <w:rFonts w:hint="eastAsia"/>
                                <w:b/>
                                <w:sz w:val="28"/>
                                <w:szCs w:val="28"/>
                              </w:rPr>
                              <w:t>附件1                                                         3-1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AqiJl74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lq6WlJimcGJ//7249fP&#10;76SuqmTP4EODpx78PcxZwDBpHSWY9EUVZMyWni+WijESjuAaWVbX6DbHvWW9rKtVIi3+3vYQ4nvh&#10;DElBSwFHlp1kp48hTkcfj6Ri1t0prRFnjbb/AMg5ISLPfb6d2p8aTlEc9+OsYu+6M0rXHyzamZ5G&#10;Dt6tb0pM4BHdT+jq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AqiJl74BAAB+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附件1                                                         3-1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附件1                                                         3-</w:t>
                            </w:r>
                            <w:r>
                              <w:rPr>
                                <w:rFonts w:hint="eastAsia"/>
                                <w:b/>
                                <w:sz w:val="28"/>
                                <w:szCs w:val="28"/>
                                <w:lang w:val="en-US" w:eastAsia="zh-CN"/>
                              </w:rPr>
                              <w:t>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RceNIL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m3o8poSyw1O/NfX7z9/&#10;fCNVWSZ7Bh9qPPXoH2DOAoZJ69iBSV9UQcZs6elsqRwjEQiukGV5g24L3LuqrqpymUjZn9seQnwv&#10;nSEpaCjgyLKT/PgxxOno85FUzLp7pTXivNb2LwA5J0Tmuc+3U/tTwymK426cVexce0Lp+oNFO9PT&#10;yMH16rbABJ7R3YQubypEDx7UvscmszEsEeJYspr5CaW5v8wxfvnb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XHjSC/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附件1                                                         3-</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附件1                                                         3-</w:t>
                            </w:r>
                            <w:r>
                              <w:rPr>
                                <w:rFonts w:hint="eastAsia"/>
                                <w:b/>
                                <w:sz w:val="28"/>
                                <w:szCs w:val="28"/>
                                <w:lang w:val="en-US" w:eastAsia="zh-CN"/>
                              </w:rPr>
                              <w:t>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n9IqWb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附件1                                                         3-</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88659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7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865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ZoTRIr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rimxzODEf3/78evn&#10;d1JXVbJn8KHBUw/+HuYsYJi0jhJM+qIKMmZLzxdLxRgJR3CFLMs1us1x77q+rqtlIi3+3vYQ4nvh&#10;DElBSwFHlp1kp48hTkcfj6Ri1t0prRFnjbb/AMg5ISLPfb6d2p8aTlEc9+OsYu+6M0rXHyzamZ5G&#10;Dt6tbkpM4BHdT+hyXSN69KAOPTaZjSkSIY4lq5mfUJr70xzjp7/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ZoTRIr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86918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7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6918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CLo4qL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riixzODEf3/78evn&#10;d1JXVbJn8KHBUw/+HuYsYJi0jhJM+qIKMmZLzxdLxRgJR3CFLMs1us1x77q+rqtlIi3+3vYQ4nvh&#10;DElBSwFHlp1kp48hTkcfj6Ri1t0prRFnjbb/AMg5ISLPfb6d2p8aTlEc9+OsYu+6M0rXHyzamZ5G&#10;Dt6tbkpM4BHdT+hyXSN69KAOPTaZjSkSIY4lq5mfUJr70xzjp7/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CLo4qL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85177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7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5177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0q+f0b0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Tb0Ei2x3ODE//z4+fvX&#10;A6nKMtkz+FDjqXt/B3MWMExaxw5M+qIKMmZLT2dL5RiJQHCFLMtELXDvorqoymUiZf9uewjxk3SG&#10;pKChgCPLTvLjlxCno49HUjHrbpTWiPNa22cAck6IzHOfb6f2p4ZTFMfdOKvYufaE0vVni3amp5GD&#10;j6urAhN4RHcTurysED14UPsem8zGsESIY8lq5ieU5v40x/jpb7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fmyk/VAAAACQEAAA8AAAAAAAAAAQAgAAAAIgAAAGRycy9kb3ducmV2LnhtbFBLAQIU&#10;ABQAAAAIAIdO4kDSr5/RvQEAAH4DAAAOAAAAAAAAAAEAIAAAACQBAABkcnMvZTJvRG9jLnhtbFBL&#10;BQYAAAAABgAGAFkBAABTBQ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83436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343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hYSdtb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S1dfaDEMoMT//P95+9f&#10;P0hdVcmewYcGT935W5izgGHSOkow6YsqyJgtPZ0tFWMkHMEVsiwv0W2Oexf1RV0tE2nx77aHED8K&#10;Z0gKWgo4suwkO34OcTr6cCQVs+5GaY04a7T9D0DOCRF57vPt1P7UcIriuBtnFTvXnVC6/mTRzvQ0&#10;cvB+dVViAg/obkKXlzWiBw9q32OT2ZgiEeJYspr5CaW5P84xfvzb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IWEnbW/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81696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81696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X5E6zL4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bV0hXO3zODEfz0+/fzx&#10;ndRVlewZfGjw1IO/hzkLGCatowSTvqiCjNnS09lSMUbCEVwhy/IS3ea4d1Ff1NUykRZ/bnsI8ZNw&#10;hqSgpYAjy06y422I09HnI6mYdTdKa8RZo+1fAHJOiMhzn2+n9qeGUxTH3Tir2LnuhNL1Z4t2pqeR&#10;g4+rqxITeEZ3E7q8rBE9eFD7HpvMxhSJEMeS1cxPKM39ZY7xy99m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X5E6zL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5</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9955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9955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SlzkAL4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lq6WlNimcGJ//7249fP&#10;76SuqmTP4EODpx78PcxZwDBpHSWY9EUVZMyWni+WijESjuAKWZZrdJvj3nV9XVfLRFr8ve0hxPfC&#10;GZKClgKOLDvJTh9DnI4+HknFrLtTWiPOGm3/AZBzQkSe+3w7tT81nKI47sdZxd51Z5SuP1i0Mz2N&#10;HLxb3ZSYwCO6n9Dlukb06EEdemwyG1MkQhxLVjM/oTT3pznGT3+b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SlzkAL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6</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8214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821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kElDeb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7</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6473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8</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6473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eq87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upaulpRYZnDif378/P3r&#10;gdRVlewZfGjw1L2/gzkLGCatowSTvqiCjNnS09lSMUbCEVwhy/IS3ea4d1Ff1NUykRb/bnsI8ZNw&#10;hqSgpYAjy06y45cQp6OPR1Ix626U1oizRttnAHJOiMhzn2+n9qeGUxTH3Tir2LnuhNL1Z4t2pqeR&#10;g4+rqxITeER3E7q8rBE9eFD7HpvMxhSJEMeS1cxPKM39aY7x09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neq87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8</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4732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9</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4732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JGINi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m3o6poSyw1O/NfX7z9/&#10;fCNVWSZ7Bh9qPPXoH2DOAoZJ69iBSV9UQcZs6elsqRwjEQiukGV5g24L3LuqrqpymUjZn9seQnwv&#10;nSEpaCjgyLKT/PgxxOno85FUzLp7pTXivNb2LwA5J0Tmuc+3U/tTwymK426cVexce0Lp+oNFO9PT&#10;yMH16rbABJ7R3YQubypEDx7UvscmszEsEeJYspr5CaW5v8wxfvnbb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RiDYq/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9</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2992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10</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299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uRiuRL4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bV0VVNimcGJ/3p8+vnj&#10;O6mrKtkz+NDgqQd/D3MWMExaRwkmfVEFGbOlp7OlYoyEI7hCluUlus1x76K+qKtlIi3+3PYQ4ifh&#10;DElBSwFHlp1kx9sQp6PPR1Ix626U1oizRtu/AOScEJHnPt9O7U8NpyiOu3FWsXPdCaXrzxbtTE8j&#10;Bx9XVyUm8IzuJnR5WSN68KD2PTaZjSkSIY4lq5mfUJr7yxzjl7/N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uRiuRL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10</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6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71251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DTPgt74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bV0hZZYZnDivx6ffv74&#10;TuqqSvYMPjR46sHfw5wFDJPWUYJJX1RBxmzp6WypGCPhCK6QZXmJ1Bz3LuqLulom0uLPbQ8hfhLO&#10;kBS0FHBk2Ul2vA1xOvp8JBWz7kZpjThrtP0LQM4JEXnu8+3U/tRwiuK4G2cVO9edULr+bNHO9DRy&#10;8HF1VWICz+huQpeXNaIHD2rfY5PZmCIR4liymvkJpbm/zDF++dt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DTPgt7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5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6746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8ezD07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upYuV5RYZnDif378/P3r&#10;gdRVlewZfGjw1L2/gzkLGCatowSTvqiCjNnS09lSMUbCEVwhy/IS3ea4d1Ff1NUykRb/bnsI8ZNw&#10;hqSgpYAjy06y45cQp6OPR1Ix626U1oizRttnAHJOiMhzn2+n9qeGUxTH3Tir2LnuhNL1Z4t2pqeR&#10;g4+rqxITeER3E7q8rBE9eFD7HpvMxhSJEMeS1cxPKM39aY7x09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8ezD07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2</w:t>
                      </w:r>
                      <w:r>
                        <w:rPr>
                          <w:rFonts w:hint="eastAsia"/>
                          <w:b/>
                          <w:sz w:val="28"/>
                          <w:szCs w:val="28"/>
                        </w:rPr>
                        <w:t xml:space="preserve">                                                         </w:t>
                      </w:r>
                      <w:r>
                        <w:rPr>
                          <w:rFonts w:hint="eastAsia"/>
                          <w:b/>
                          <w:sz w:val="28"/>
                          <w:szCs w:val="28"/>
                          <w:lang w:val="en-US" w:eastAsia="zh-CN"/>
                        </w:rPr>
                        <w:t>12</w:t>
                      </w:r>
                      <w:r>
                        <w:rPr>
                          <w:rFonts w:hint="eastAsia"/>
                          <w:b/>
                          <w:sz w:val="28"/>
                          <w:szCs w:val="28"/>
                        </w:rPr>
                        <w:t>-</w:t>
                      </w:r>
                      <w:r>
                        <w:rPr>
                          <w:rFonts w:hint="eastAsia"/>
                          <w:b/>
                          <w:sz w:val="28"/>
                          <w:szCs w:val="28"/>
                          <w:lang w:val="en-US" w:eastAsia="zh-CN"/>
                        </w:rPr>
                        <w:t>12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92140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7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2</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92140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v+cuy/AQAAfg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2</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90400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7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2</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19040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vJF2W74BAAB+AwAADgAAAAAAAAABACAAAAAkAQAAZHJzL2Uyb0RvYy54bWxQ&#10;SwUGAAAAAAYABgBZAQAAVAU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3</w:t>
                      </w:r>
                      <w:r>
                        <w:rPr>
                          <w:rFonts w:hint="eastAsia"/>
                          <w:b/>
                          <w:sz w:val="28"/>
                          <w:szCs w:val="28"/>
                        </w:rPr>
                        <w:t xml:space="preserve">                                                         </w:t>
                      </w:r>
                      <w:r>
                        <w:rPr>
                          <w:rFonts w:hint="eastAsia"/>
                          <w:b/>
                          <w:sz w:val="28"/>
                          <w:szCs w:val="28"/>
                          <w:lang w:val="en-US" w:eastAsia="zh-CN"/>
                        </w:rPr>
                        <w:t>2</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545356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3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54535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3EGiRL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C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NxBokS/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4942592" behindDoc="0" locked="0" layoutInCell="1" allowOverlap="1">
                <wp:simplePos x="0" y="0"/>
                <wp:positionH relativeFrom="column">
                  <wp:posOffset>529590</wp:posOffset>
                </wp:positionH>
                <wp:positionV relativeFrom="paragraph">
                  <wp:posOffset>-48260</wp:posOffset>
                </wp:positionV>
                <wp:extent cx="6211570" cy="323215"/>
                <wp:effectExtent l="0" t="0" r="0" b="0"/>
                <wp:wrapNone/>
                <wp:docPr id="12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w:t>
                            </w:r>
                          </w:p>
                        </w:txbxContent>
                      </wps:txbx>
                      <wps:bodyPr lIns="0" tIns="46800" rIns="0" bIns="45720" upright="1"/>
                    </wps:wsp>
                  </a:graphicData>
                </a:graphic>
              </wp:anchor>
            </w:drawing>
          </mc:Choice>
          <mc:Fallback>
            <w:pict>
              <v:rect id="矩形 211" o:spid="_x0000_s1026" o:spt="1" style="position:absolute;left:0pt;margin-left:41.7pt;margin-top:-3.8pt;height:25.45pt;width:489.1pt;z-index:264942592;mso-width-relative:page;mso-height-relative:page;" filled="f" stroked="f" coordsize="21600,21600" o:gfxdata="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HDwlhsc+Z8fP3//&#10;eiBVWSZ/Bh9qPHbv72DOAoZJ7NiBSV+UQcbs6ensqRwjEQiukGV5iXYL3LuoLqpymUjZv9seQvwk&#10;nSEpaCjgzLKV/PglxOno45FUzLobpTXivNb2GYCcEyLz4Ofbqf2p4RTFcTfOKnauPaF2/dmin+lt&#10;5ODj6qrABB7R3YQuLytEDx7UvscmszEs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6v9NUAAAAJAQAADwAAAAAAAAABACAAAAAiAAAAZHJzL2Rvd25yZXYueG1sUEsB&#10;AhQAFAAAAAgAh07iQItqoCC/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443161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443161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qd+7L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1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6nfuy/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392064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392064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RLLZlb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qFe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Sy2ZW/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340966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340966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KowwH7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9ZISywyO/M+Pn79/&#10;PZC6qpI/gw8NHrv3dzBnAcMkdpRg0hdlkDF7ejp7KsZIOIIrZFleot0c9y7qi7paJtLi320PIX4S&#10;zpAUtBRwZtlKdvwS4nT08UgqZt2N0hpx1mj7DEDOCRF58PPt1P7UcIriuBtnFTvXnVC7/mzRz/Q2&#10;cvBxdVViAo/obkKXlzWiBw9q32OT2Zgi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qMMB+/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5</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289868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289868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8JmXZ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1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CZl2a/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6</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238771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238771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t/aT0b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1E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Lf2k9G/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7</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187673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8</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187673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beM0qL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Cp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G3jNKi/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8</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136576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9</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136576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A93dIr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qEp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APd3SK/AQAAfwMAAA4AAAAAAAAAAQAgAAAAJAEAAGRycy9lMm9Eb2MueG1s&#10;UEsFBgAAAAAGAAYAWQEAAFUFAAAAAA==&#10;">
                <v:fill on="f" focussize="0,0"/>
                <v:stroke on="f"/>
                <v:imagedata o:title=""/>
                <o:lock v:ext="edit" aspectratio="f"/>
                <v:textbox inset="0mm,1.3mm,0mm,1.27mm">
                  <w:txbxContent>
                    <w:p>
                      <w:pPr>
                        <w:jc w:val="center"/>
                        <w:rPr>
                          <w:rFonts w:hint="eastAsia"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9</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085478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2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10</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085478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2ch6W7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NXpimcGR//nx8/ev&#10;B1JXVfJn8KHBY/f+DuYsYJjEjhJM+qIMMmZPT2dPxRgJR3CFLMtLpOa4d1Ff1NUykRb/bnsI8ZNw&#10;hqSgpYAzy1ay45cQp6OPR1Ix626U1oizRttnAHJOiMiDn2+n9qeGUxTH3Tir2LnuhNr1Z4t+preR&#10;g4+rqxITeER3E7q8TPYcPKh9j01mY4pEiHPJauY3lAb/NMf46X+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2ch6W7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10</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6034380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6034380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MNqH87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fgSqg+UWGZw5H++//z9&#10;6wepqyr5M/jQ4LE7fwtzFjBMYkcJJn1RBhmzp6ezp2KMhCO4QpblJdrNce+ivqirZSIt/t32EOJH&#10;4QxJQUsBZ5atZMfPIU5HH46kYtbdKK0RZ422/wHIOSEiD36+ndqfGk5RHHfjrGLnuhNq158s+pne&#10;Rg7er65KTOAB3U3o8rJG9OBB7XtsMhtTJEKcS1Yzv6E0+Mc5xo//m8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DDah/O/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983283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983283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6s8gir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FQ7eMoMj//Pj5+9f&#10;D6SuquTP4EODx+79HcxZwDCJHSWY9EUZZMyens6eijESjuAKWZaXaDfHvYv6oq6WibT4d9tDiJ+E&#10;MyQFLQWcWbaSHb+EOB19PJKKWXejtEacNdo+A5BzQkQe/Hw7tT81nKI47sZZxc51J9SuP1v0M72N&#10;HHxcXZWYwCO6m9DlZY3owYPa99hkNqZIhDiXrGZ+Q2nwT3OMn/43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6s8gir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932185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932185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wL+Rr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V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8C/ka/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881088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881088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JRdZP7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qFa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UXWT+/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829990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829990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Symwtb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1ZISywyO/M+Pn79/&#10;PZC6qpI/gw8NHrv3dzBnAcMkdpRg0hdlkDF7ejp7KsZIOIIrZFleot0c9y7qixrLIE3x77aHED8J&#10;Z0gKWgo4s2wlO34JcTr6eCQVs+5GaY04a7R9BiDnhIg8+Pl2an9qOEVx3I2zip3rTqhdf7boZ3ob&#10;Ofi4uioxgUd0N6HLyxrRgwe177HJbEyRCHEuWc38htLgn+YYP/1v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spsLW/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15</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778892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778892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kTwXzL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5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E8F8y/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16</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727795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727795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1lMTe7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VE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NZTE3u/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17</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676697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2"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18</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676697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AxGtAK/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18</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625600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1"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19</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625600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YnhdiL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VUWJZQZH/ufHz9+/&#10;HkiNCPoz+NDgsXt/B3MWMExiRwkmfVEGGbOnp7OnYoyEI7hCluUl2s1x76K+qKtlIi3+3fYQ4ifh&#10;DElBSwFnlq1kxy8hTkcfj6Ri1t0orRFnjbbPAOScEJEHP99O7U8NpyiOu3FWsXPdCbXrzxb9TG8j&#10;Bx9XVyUm8IjuJnR5WSN68KD2PTaZjSkSIc4lq5nfUBr80xzjp//N5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YnhdiL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19</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574502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10"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20</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574502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uG368b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FXpimcGR//nx8/ev&#10;B1JXVfJn8KHBY/f+DuYsYJjEjhJM+qIMMmZPT2dPxRgJR3CFLMtLpOa4d1Ff1NUykRb/bnsI8ZNw&#10;hqSgpYAzy1ay45cQp6OPR1Ix626U1oizRttnAHJOiMiDn2+n9qeGUxTH3Tir2LnuhNr1Z4t+preR&#10;g4+rqxITeER3E7q8rBE9eFD7HpvMxhSJEOeS1cxvKA3+aY7x0/9m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uG368b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20</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523404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9"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21</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523404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O9G+JW/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21</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472307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8"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22</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472307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NVNf7L4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JQ7eMoMj//Pj5+9f&#10;D6SuquTP4EODx+79HcxZwDCJHSWY9EUZZMyens6eijESjuAKWZaXaDfHvYv6oq6WibT4d9tDiJ+E&#10;MyQFLQWcWbaSHb+EOB19PJKKWXejtEacNdo+A5BzQkQe/Hw7tT81nKI47sZZxc51J9SuP1v0M72N&#10;HHxcXZWYwCO6m9DlZY3owYPa99hkNqZIhDiXrGZ+Q2nwT3OMn/43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5spP1QAAAAkBAAAPAAAAAAAAAAEAIAAAACIAAABkcnMvZG93bnJldi54bWxQSwEC&#10;FAAUAAAACACHTuJANVNf7L4BAAB/AwAADgAAAAAAAAABACAAAAAkAQAAZHJzL2Uyb0RvYy54bWxQ&#10;SwUGAAAAAAYABgBZAQAAVAU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22</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4212096"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7"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23</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4212096;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CCegSC/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23</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3701120"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6"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24</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3701120;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PqLJlm/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24</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3190144"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5"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25</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3190144;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JS1z9O/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25</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2679168"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4"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26</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2679168;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E6gaKq/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26</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2168192" behindDoc="0" locked="0" layoutInCell="1" allowOverlap="1">
                <wp:simplePos x="0" y="0"/>
                <wp:positionH relativeFrom="column">
                  <wp:posOffset>365760</wp:posOffset>
                </wp:positionH>
                <wp:positionV relativeFrom="paragraph">
                  <wp:posOffset>128270</wp:posOffset>
                </wp:positionV>
                <wp:extent cx="6211570" cy="323215"/>
                <wp:effectExtent l="0" t="0" r="0" b="0"/>
                <wp:wrapNone/>
                <wp:docPr id="103" name="矩形 211"/>
                <wp:cNvGraphicFramePr/>
                <a:graphic xmlns:a="http://schemas.openxmlformats.org/drawingml/2006/main">
                  <a:graphicData uri="http://schemas.microsoft.com/office/word/2010/wordprocessingShape">
                    <wps:wsp>
                      <wps:cNvSpPr/>
                      <wps:spPr>
                        <a:xfrm>
                          <a:off x="0" y="0"/>
                          <a:ext cx="6211570" cy="323215"/>
                        </a:xfrm>
                        <a:prstGeom prst="rect">
                          <a:avLst/>
                        </a:prstGeom>
                        <a:noFill/>
                        <a:ln>
                          <a:noFill/>
                        </a:ln>
                        <a:effectLst/>
                      </wps:spPr>
                      <wps:txbx>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27</w:t>
                            </w:r>
                          </w:p>
                        </w:txbxContent>
                      </wps:txbx>
                      <wps:bodyPr lIns="0" tIns="46800" rIns="0" bIns="45720" upright="1"/>
                    </wps:wsp>
                  </a:graphicData>
                </a:graphic>
              </wp:anchor>
            </w:drawing>
          </mc:Choice>
          <mc:Fallback>
            <w:pict>
              <v:rect id="矩形 211" o:spid="_x0000_s1026" o:spt="1" style="position:absolute;left:0pt;margin-left:28.8pt;margin-top:10.1pt;height:25.45pt;width:489.1pt;z-index:252168192;mso-width-relative:page;mso-height-relative:page;" filled="f" stroked="f" coordsize="21600,21600" o:gfxdata="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vAllEtKLDM48t/ffvz6&#10;+Z3UVZX8GXxo8NiDv4c5CxgmsaMEk74og4zZ0/PFUzFGwhFcI8vqGu3muLesl3W1SqTF39seQnwv&#10;nCEpaCngzLKV7PQxxOno45FUzLo7pTXirNH2HwA5J0Tkwc+3U/tTwymK436cVexdd0bt+oNFP9Pb&#10;yMG79U2JCTyi+wldXdeIHj2oQ49NZmOKRIhzyWrmN5QG/zTH+Ol/s/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KT9UAAAAJAQAADwAAAAAAAAABACAAAAAiAAAAZHJzL2Rvd25yZXYueG1sUEsB&#10;AhQAFAAAAAgAh07iQAnPbB2/AQAAfwMAAA4AAAAAAAAAAQAgAAAAJAEAAGRycy9lMm9Eb2MueG1s&#10;UEsFBgAAAAAGAAYAWQEAAFUFAAAAAA==&#10;">
                <v:fill on="f" focussize="0,0"/>
                <v:stroke on="f"/>
                <v:imagedata o:title=""/>
                <o:lock v:ext="edit" aspectratio="f"/>
                <v:textbox inset="0mm,1.3mm,0mm,1.27mm">
                  <w:txbxContent>
                    <w:p>
                      <w:pPr>
                        <w:jc w:val="center"/>
                        <w:rPr>
                          <w:rFonts w:hint="default" w:eastAsia="宋体"/>
                          <w:b/>
                          <w:sz w:val="28"/>
                          <w:szCs w:val="28"/>
                          <w:lang w:val="en-US" w:eastAsia="zh-CN"/>
                        </w:rPr>
                      </w:pPr>
                      <w:r>
                        <w:rPr>
                          <w:rFonts w:hint="eastAsia"/>
                          <w:b/>
                          <w:sz w:val="28"/>
                          <w:szCs w:val="28"/>
                        </w:rPr>
                        <w:t>附件</w:t>
                      </w:r>
                      <w:r>
                        <w:rPr>
                          <w:rFonts w:hint="eastAsia"/>
                          <w:b/>
                          <w:sz w:val="28"/>
                          <w:szCs w:val="28"/>
                          <w:lang w:val="en-US" w:eastAsia="zh-CN"/>
                        </w:rPr>
                        <w:t>4</w:t>
                      </w:r>
                      <w:r>
                        <w:rPr>
                          <w:rFonts w:hint="eastAsia"/>
                          <w:b/>
                          <w:sz w:val="28"/>
                          <w:szCs w:val="28"/>
                        </w:rPr>
                        <w:t xml:space="preserve">                                                         </w:t>
                      </w:r>
                      <w:r>
                        <w:rPr>
                          <w:rFonts w:hint="eastAsia"/>
                          <w:b/>
                          <w:sz w:val="28"/>
                          <w:szCs w:val="28"/>
                          <w:lang w:val="en-US" w:eastAsia="zh-CN"/>
                        </w:rPr>
                        <w:t>27</w:t>
                      </w:r>
                      <w:r>
                        <w:rPr>
                          <w:rFonts w:hint="eastAsia"/>
                          <w:b/>
                          <w:sz w:val="28"/>
                          <w:szCs w:val="28"/>
                        </w:rPr>
                        <w:t>-</w:t>
                      </w:r>
                      <w:r>
                        <w:rPr>
                          <w:rFonts w:hint="eastAsia"/>
                          <w:b/>
                          <w:sz w:val="28"/>
                          <w:szCs w:val="28"/>
                          <w:lang w:val="en-US" w:eastAsia="zh-CN"/>
                        </w:rPr>
                        <w:t>27</w:t>
                      </w:r>
                    </w:p>
                  </w:txbxContent>
                </v:textbox>
              </v:rect>
            </w:pict>
          </mc:Fallback>
        </mc:AlternateContent>
      </w:r>
    </w:p>
    <w:p>
      <w:pPr>
        <w:jc w:val="left"/>
        <w:rPr>
          <w:rFonts w:hint="default" w:ascii="Times New Roman" w:hAnsi="Times New Roman" w:cs="Times New Roman"/>
          <w:szCs w:val="21"/>
        </w:rPr>
      </w:pPr>
      <w:r>
        <w:rPr>
          <w:rFonts w:hint="default" w:ascii="Times New Roman" w:hAnsi="Times New Roman" w:eastAsia="黑体" w:cs="Times New Roman"/>
          <w:b/>
          <w:bCs/>
          <w:szCs w:val="21"/>
        </w:rPr>
        <mc:AlternateContent>
          <mc:Choice Requires="wps">
            <w:drawing>
              <wp:anchor distT="0" distB="0" distL="114300" distR="114300" simplePos="0" relativeHeight="251628544" behindDoc="0" locked="0" layoutInCell="1" allowOverlap="1">
                <wp:simplePos x="0" y="0"/>
                <wp:positionH relativeFrom="column">
                  <wp:posOffset>-310515</wp:posOffset>
                </wp:positionH>
                <wp:positionV relativeFrom="paragraph">
                  <wp:posOffset>-414020</wp:posOffset>
                </wp:positionV>
                <wp:extent cx="762635" cy="323215"/>
                <wp:effectExtent l="0" t="0" r="0" b="0"/>
                <wp:wrapNone/>
                <wp:docPr id="28" name="矩形 213"/>
                <wp:cNvGraphicFramePr/>
                <a:graphic xmlns:a="http://schemas.openxmlformats.org/drawingml/2006/main">
                  <a:graphicData uri="http://schemas.microsoft.com/office/word/2010/wordprocessingShape">
                    <wps:wsp>
                      <wps:cNvSpPr/>
                      <wps:spPr>
                        <a:xfrm>
                          <a:off x="0" y="0"/>
                          <a:ext cx="762635" cy="323215"/>
                        </a:xfrm>
                        <a:prstGeom prst="rect">
                          <a:avLst/>
                        </a:prstGeom>
                        <a:noFill/>
                        <a:ln>
                          <a:noFill/>
                        </a:ln>
                        <a:effectLst/>
                      </wps:spPr>
                      <wps:txbx>
                        <w:txbxContent>
                          <w:p>
                            <w:pPr>
                              <w:jc w:val="center"/>
                              <w:rPr>
                                <w:b/>
                                <w:sz w:val="28"/>
                                <w:szCs w:val="28"/>
                              </w:rPr>
                            </w:pPr>
                            <w:r>
                              <w:rPr>
                                <w:rFonts w:hint="eastAsia"/>
                                <w:b/>
                                <w:sz w:val="28"/>
                                <w:szCs w:val="28"/>
                              </w:rPr>
                              <w:t>附表1</w:t>
                            </w:r>
                          </w:p>
                        </w:txbxContent>
                      </wps:txbx>
                      <wps:bodyPr lIns="0" tIns="46800" rIns="0" bIns="45720" upright="1"/>
                    </wps:wsp>
                  </a:graphicData>
                </a:graphic>
              </wp:anchor>
            </w:drawing>
          </mc:Choice>
          <mc:Fallback>
            <w:pict>
              <v:rect id="矩形 213" o:spid="_x0000_s1026" o:spt="1" style="position:absolute;left:0pt;margin-left:-24.45pt;margin-top:-32.6pt;height:25.45pt;width:60.05pt;z-index:251628544;mso-width-relative:page;mso-height-relative:page;" filled="f" stroked="f" coordsize="21600,21600" o:gfxdata="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vRh/1QAAAAoBAAAPAAAAAAAAAAEAIAAAACIAAABkcnMvZG93bnJldi54bWxQSwEC&#10;FAAUAAAACACHTuJAigSlnL4BAAB9AwAADgAAAAAAAAABACAAAAAkAQAAZHJzL2Uyb0RvYy54bWxQ&#10;SwUGAAAAAAYABgBZAQAAVAUAAAAA&#10;">
                <v:fill on="f" focussize="0,0"/>
                <v:stroke on="f"/>
                <v:imagedata o:title=""/>
                <o:lock v:ext="edit" aspectratio="f"/>
                <v:textbox inset="0mm,1.3mm,0mm,1.27mm">
                  <w:txbxContent>
                    <w:p>
                      <w:pPr>
                        <w:jc w:val="center"/>
                        <w:rPr>
                          <w:b/>
                          <w:sz w:val="28"/>
                          <w:szCs w:val="28"/>
                        </w:rPr>
                      </w:pPr>
                      <w:r>
                        <w:rPr>
                          <w:rFonts w:hint="eastAsia"/>
                          <w:b/>
                          <w:sz w:val="28"/>
                          <w:szCs w:val="28"/>
                        </w:rPr>
                        <w:t>附表1</w:t>
                      </w:r>
                    </w:p>
                  </w:txbxContent>
                </v:textbox>
              </v:rect>
            </w:pict>
          </mc:Fallback>
        </mc:AlternateContent>
      </w:r>
      <w:r>
        <w:rPr>
          <w:rFonts w:hint="default" w:ascii="Times New Roman" w:hAnsi="Times New Roman" w:cs="Times New Roman"/>
          <w:szCs w:val="21"/>
        </w:rPr>
        <w:t>填表单位(盖章)：温州新鸿检测技术有限公司                      填表人(签字)：                      项目经办人(签字)：</w:t>
      </w:r>
    </w:p>
    <w:tbl>
      <w:tblPr>
        <w:tblStyle w:val="37"/>
        <w:tblW w:w="15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245"/>
        <w:gridCol w:w="454"/>
        <w:gridCol w:w="692"/>
        <w:gridCol w:w="257"/>
        <w:gridCol w:w="490"/>
        <w:gridCol w:w="292"/>
        <w:gridCol w:w="55"/>
        <w:gridCol w:w="931"/>
        <w:gridCol w:w="165"/>
        <w:gridCol w:w="302"/>
        <w:gridCol w:w="868"/>
        <w:gridCol w:w="232"/>
        <w:gridCol w:w="180"/>
        <w:gridCol w:w="608"/>
        <w:gridCol w:w="663"/>
        <w:gridCol w:w="572"/>
        <w:gridCol w:w="102"/>
        <w:gridCol w:w="369"/>
        <w:gridCol w:w="625"/>
        <w:gridCol w:w="826"/>
        <w:gridCol w:w="345"/>
        <w:gridCol w:w="812"/>
        <w:gridCol w:w="462"/>
        <w:gridCol w:w="1050"/>
        <w:gridCol w:w="190"/>
        <w:gridCol w:w="226"/>
        <w:gridCol w:w="707"/>
        <w:gridCol w:w="54"/>
        <w:gridCol w:w="1140"/>
        <w:gridCol w:w="1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restart"/>
            <w:textDirection w:val="tbRlV"/>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建设项目</w:t>
            </w: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项目名称</w:t>
            </w:r>
          </w:p>
        </w:tc>
        <w:tc>
          <w:tcPr>
            <w:tcW w:w="3025" w:type="dxa"/>
            <w:gridSpan w:val="8"/>
            <w:vAlign w:val="center"/>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平阳县万鹏表面处理有限公司年产6000吨五金件产品项目</w:t>
            </w:r>
            <w:r>
              <w:rPr>
                <w:rFonts w:hint="default" w:ascii="Times New Roman" w:hAnsi="Times New Roman" w:cs="Times New Roman"/>
                <w:sz w:val="18"/>
                <w:szCs w:val="18"/>
              </w:rPr>
              <w:t>阶段性及迁建整合提升项目（喷漆工序阶段性）</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项目代码</w:t>
            </w:r>
          </w:p>
        </w:tc>
        <w:tc>
          <w:tcPr>
            <w:tcW w:w="2977" w:type="dxa"/>
            <w:gridSpan w:val="5"/>
            <w:vAlign w:val="center"/>
          </w:tcPr>
          <w:p>
            <w:pPr>
              <w:jc w:val="center"/>
              <w:rPr>
                <w:rFonts w:hint="default" w:ascii="Times New Roman" w:hAnsi="Times New Roman" w:cs="Times New Roman"/>
                <w:sz w:val="18"/>
                <w:szCs w:val="18"/>
              </w:rPr>
            </w:pP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建设地点</w:t>
            </w:r>
          </w:p>
        </w:tc>
        <w:tc>
          <w:tcPr>
            <w:tcW w:w="2953"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lang w:eastAsia="zh-CN"/>
              </w:rPr>
              <w:t>平阳县宋埠海涂围垦区电镀园区C11地块</w:t>
            </w:r>
            <w:r>
              <w:rPr>
                <w:rFonts w:hint="default" w:ascii="Times New Roman" w:hAnsi="Times New Roman" w:cs="Times New Roman"/>
                <w:sz w:val="18"/>
                <w:szCs w:val="18"/>
              </w:rPr>
              <w:t>(D08-1地块)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行业类别(分类管理目录)</w:t>
            </w:r>
          </w:p>
        </w:tc>
        <w:tc>
          <w:tcPr>
            <w:tcW w:w="3025" w:type="dxa"/>
            <w:gridSpan w:val="8"/>
            <w:vAlign w:val="center"/>
          </w:tcPr>
          <w:p>
            <w:pPr>
              <w:pStyle w:val="77"/>
              <w:spacing w:line="282" w:lineRule="exact"/>
              <w:ind w:left="182" w:right="146"/>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pacing w:val="-6"/>
                <w:kern w:val="2"/>
                <w:sz w:val="18"/>
                <w:szCs w:val="18"/>
                <w:lang w:val="en-US" w:eastAsia="zh-CN" w:bidi="ar-SA"/>
              </w:rPr>
              <w:t>68 金属制品表面处理及热处理加工</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建设性质</w:t>
            </w:r>
          </w:p>
        </w:tc>
        <w:tc>
          <w:tcPr>
            <w:tcW w:w="7858" w:type="dxa"/>
            <w:gridSpan w:val="14"/>
            <w:vAlign w:val="center"/>
          </w:tcPr>
          <w:p>
            <w:pPr>
              <w:jc w:val="center"/>
              <w:rPr>
                <w:rFonts w:hint="default" w:ascii="Times New Roman" w:hAnsi="Times New Roman" w:cs="Times New Roman"/>
                <w:sz w:val="18"/>
                <w:szCs w:val="18"/>
              </w:rPr>
            </w:pPr>
            <w:r>
              <w:rPr>
                <w:rFonts w:hint="default" w:ascii="Times New Roman" w:hAnsi="Times New Roman" w:cs="Times New Roman"/>
                <w:color w:val="FFFFFF"/>
                <w:sz w:val="18"/>
                <w:szCs w:val="18"/>
              </w:rPr>
              <w:t>■</w:t>
            </w:r>
            <w:r>
              <w:rPr>
                <w:rFonts w:hint="eastAsia" w:cs="Times New Roman"/>
                <w:sz w:val="18"/>
                <w:szCs w:val="18"/>
                <w:lang w:eastAsia="zh-CN"/>
              </w:rPr>
              <w:t>□</w:t>
            </w:r>
            <w:r>
              <w:rPr>
                <w:rFonts w:hint="default" w:ascii="Times New Roman" w:hAnsi="Times New Roman" w:cs="Times New Roman"/>
                <w:sz w:val="18"/>
                <w:szCs w:val="18"/>
              </w:rPr>
              <w:t xml:space="preserve">新建      </w:t>
            </w:r>
            <w:r>
              <w:rPr>
                <w:rFonts w:hint="eastAsia" w:cs="Times New Roman"/>
                <w:sz w:val="18"/>
                <w:szCs w:val="18"/>
                <w:lang w:eastAsia="zh-CN"/>
              </w:rPr>
              <w:t>☑</w:t>
            </w:r>
            <w:r>
              <w:rPr>
                <w:rFonts w:hint="default" w:ascii="Times New Roman" w:hAnsi="Times New Roman" w:cs="Times New Roman"/>
                <w:sz w:val="18"/>
                <w:szCs w:val="18"/>
              </w:rPr>
              <w:t xml:space="preserve">改扩建    </w:t>
            </w:r>
            <w:r>
              <w:rPr>
                <w:rFonts w:hint="eastAsia" w:cs="Times New Roman"/>
                <w:sz w:val="18"/>
                <w:szCs w:val="18"/>
                <w:lang w:eastAsia="zh-CN"/>
              </w:rPr>
              <w:t>□</w:t>
            </w:r>
            <w:r>
              <w:rPr>
                <w:rFonts w:hint="default" w:ascii="Times New Roman" w:hAnsi="Times New Roman" w:cs="Times New Roman"/>
                <w:sz w:val="18"/>
                <w:szCs w:val="18"/>
              </w:rPr>
              <w:t xml:space="preserve">技术改造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设计生产能力</w:t>
            </w:r>
          </w:p>
        </w:tc>
        <w:tc>
          <w:tcPr>
            <w:tcW w:w="3025" w:type="dxa"/>
            <w:gridSpan w:val="8"/>
            <w:vAlign w:val="center"/>
          </w:tcPr>
          <w:p>
            <w:pPr>
              <w:snapToGrid w:val="0"/>
              <w:jc w:val="center"/>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年产6000吨五金件</w:t>
            </w:r>
          </w:p>
        </w:tc>
        <w:tc>
          <w:tcPr>
            <w:tcW w:w="1945" w:type="dxa"/>
            <w:gridSpan w:val="4"/>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实际生产能力</w:t>
            </w:r>
          </w:p>
        </w:tc>
        <w:tc>
          <w:tcPr>
            <w:tcW w:w="2977" w:type="dxa"/>
            <w:gridSpan w:val="5"/>
            <w:vAlign w:val="center"/>
          </w:tcPr>
          <w:p>
            <w:pPr>
              <w:jc w:val="center"/>
              <w:rPr>
                <w:rFonts w:hint="eastAsia" w:ascii="Times New Roman" w:hAnsi="Times New Roman" w:eastAsia="宋体" w:cs="Times New Roman"/>
                <w:color w:val="000000"/>
                <w:sz w:val="18"/>
                <w:szCs w:val="18"/>
                <w:lang w:eastAsia="zh-CN"/>
              </w:rPr>
            </w:pPr>
            <w:r>
              <w:rPr>
                <w:rFonts w:hint="eastAsia" w:cs="Times New Roman"/>
                <w:color w:val="000000"/>
                <w:sz w:val="18"/>
                <w:szCs w:val="18"/>
                <w:lang w:eastAsia="zh-CN"/>
              </w:rPr>
              <w:t>年产6000吨五金件</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环评单位</w:t>
            </w:r>
          </w:p>
        </w:tc>
        <w:tc>
          <w:tcPr>
            <w:tcW w:w="2953" w:type="dxa"/>
            <w:gridSpan w:val="5"/>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浙江中蓝环境科技有限公司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环评文件审批机关</w:t>
            </w:r>
          </w:p>
        </w:tc>
        <w:tc>
          <w:tcPr>
            <w:tcW w:w="3025" w:type="dxa"/>
            <w:gridSpan w:val="8"/>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温州市生态环境局</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审批文号</w:t>
            </w:r>
          </w:p>
        </w:tc>
        <w:tc>
          <w:tcPr>
            <w:tcW w:w="2977" w:type="dxa"/>
            <w:gridSpan w:val="5"/>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温环平建[2019]204号</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环评文件类型</w:t>
            </w:r>
          </w:p>
        </w:tc>
        <w:tc>
          <w:tcPr>
            <w:tcW w:w="2953" w:type="dxa"/>
            <w:gridSpan w:val="5"/>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环境影响</w:t>
            </w:r>
            <w:r>
              <w:rPr>
                <w:rFonts w:hint="default" w:ascii="Times New Roman" w:hAnsi="Times New Roman" w:cs="Times New Roman"/>
                <w:sz w:val="18"/>
                <w:szCs w:val="18"/>
                <w:lang w:eastAsia="zh-CN"/>
              </w:rPr>
              <w:t>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开工日期</w:t>
            </w:r>
          </w:p>
        </w:tc>
        <w:tc>
          <w:tcPr>
            <w:tcW w:w="3025" w:type="dxa"/>
            <w:gridSpan w:val="8"/>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2019年</w:t>
            </w:r>
            <w:r>
              <w:rPr>
                <w:rFonts w:hint="eastAsia" w:cs="Times New Roman"/>
                <w:sz w:val="18"/>
                <w:szCs w:val="18"/>
                <w:lang w:val="en-US" w:eastAsia="zh-CN"/>
              </w:rPr>
              <w:t>12</w:t>
            </w:r>
            <w:r>
              <w:rPr>
                <w:rFonts w:hint="default" w:ascii="Times New Roman" w:hAnsi="Times New Roman" w:cs="Times New Roman"/>
                <w:sz w:val="18"/>
                <w:szCs w:val="18"/>
              </w:rPr>
              <w:t>月</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竣工日期</w:t>
            </w:r>
          </w:p>
        </w:tc>
        <w:tc>
          <w:tcPr>
            <w:tcW w:w="2977"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w:t>
            </w:r>
            <w:r>
              <w:rPr>
                <w:rFonts w:hint="eastAsia" w:cs="Times New Roman"/>
                <w:sz w:val="18"/>
                <w:szCs w:val="18"/>
                <w:lang w:val="en-US" w:eastAsia="zh-CN"/>
              </w:rPr>
              <w:t>20</w:t>
            </w:r>
            <w:r>
              <w:rPr>
                <w:rFonts w:hint="default" w:ascii="Times New Roman" w:hAnsi="Times New Roman" w:cs="Times New Roman"/>
                <w:sz w:val="18"/>
                <w:szCs w:val="18"/>
              </w:rPr>
              <w:t>年</w:t>
            </w:r>
            <w:r>
              <w:rPr>
                <w:rFonts w:hint="eastAsia" w:cs="Times New Roman"/>
                <w:sz w:val="18"/>
                <w:szCs w:val="18"/>
                <w:lang w:val="en-US" w:eastAsia="zh-CN"/>
              </w:rPr>
              <w:t>6</w:t>
            </w:r>
            <w:r>
              <w:rPr>
                <w:rFonts w:hint="default" w:ascii="Times New Roman" w:hAnsi="Times New Roman" w:cs="Times New Roman"/>
                <w:sz w:val="18"/>
                <w:szCs w:val="18"/>
              </w:rPr>
              <w:t>月</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排水许可证申领时间</w:t>
            </w:r>
          </w:p>
        </w:tc>
        <w:tc>
          <w:tcPr>
            <w:tcW w:w="2953"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环保设施设计单位</w:t>
            </w:r>
          </w:p>
        </w:tc>
        <w:tc>
          <w:tcPr>
            <w:tcW w:w="3025" w:type="dxa"/>
            <w:gridSpan w:val="8"/>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环保设施施工单位</w:t>
            </w:r>
          </w:p>
        </w:tc>
        <w:tc>
          <w:tcPr>
            <w:tcW w:w="2977"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本工程排污许可证编号</w:t>
            </w:r>
          </w:p>
        </w:tc>
        <w:tc>
          <w:tcPr>
            <w:tcW w:w="2953"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验收单位</w:t>
            </w:r>
          </w:p>
        </w:tc>
        <w:tc>
          <w:tcPr>
            <w:tcW w:w="3025" w:type="dxa"/>
            <w:gridSpan w:val="8"/>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平阳县万鹏表面处理有限公司</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环保设施监测单位</w:t>
            </w:r>
          </w:p>
        </w:tc>
        <w:tc>
          <w:tcPr>
            <w:tcW w:w="2977"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温州新鸿检测技术有限公司</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验收监测时工况</w:t>
            </w:r>
          </w:p>
        </w:tc>
        <w:tc>
          <w:tcPr>
            <w:tcW w:w="2953" w:type="dxa"/>
            <w:gridSpan w:val="5"/>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eastAsia="zh-CN"/>
              </w:rPr>
              <w:t>81.8%</w:t>
            </w:r>
            <w:r>
              <w:rPr>
                <w:rFonts w:hint="default" w:ascii="Times New Roman" w:hAnsi="Times New Roman" w:cs="Times New Roman"/>
                <w:sz w:val="18"/>
                <w:szCs w:val="18"/>
              </w:rPr>
              <w:t>、</w:t>
            </w:r>
            <w:r>
              <w:rPr>
                <w:rFonts w:hint="eastAsia" w:cs="Times New Roman"/>
                <w:sz w:val="18"/>
                <w:szCs w:val="18"/>
                <w:lang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投资总概算(万元)</w:t>
            </w:r>
          </w:p>
        </w:tc>
        <w:tc>
          <w:tcPr>
            <w:tcW w:w="3025" w:type="dxa"/>
            <w:gridSpan w:val="8"/>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210</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环保投资总概算(万元)</w:t>
            </w:r>
          </w:p>
        </w:tc>
        <w:tc>
          <w:tcPr>
            <w:tcW w:w="2977" w:type="dxa"/>
            <w:gridSpan w:val="5"/>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所占比例(%)</w:t>
            </w:r>
          </w:p>
        </w:tc>
        <w:tc>
          <w:tcPr>
            <w:tcW w:w="2953" w:type="dxa"/>
            <w:gridSpan w:val="5"/>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实际总投资(万元)</w:t>
            </w:r>
          </w:p>
        </w:tc>
        <w:tc>
          <w:tcPr>
            <w:tcW w:w="3025" w:type="dxa"/>
            <w:gridSpan w:val="8"/>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150</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实际环保投资(万元)</w:t>
            </w:r>
          </w:p>
        </w:tc>
        <w:tc>
          <w:tcPr>
            <w:tcW w:w="2977" w:type="dxa"/>
            <w:gridSpan w:val="5"/>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30</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所占比例(%)</w:t>
            </w:r>
          </w:p>
        </w:tc>
        <w:tc>
          <w:tcPr>
            <w:tcW w:w="2953" w:type="dxa"/>
            <w:gridSpan w:val="5"/>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39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废水治理(万元)</w:t>
            </w:r>
          </w:p>
        </w:tc>
        <w:tc>
          <w:tcPr>
            <w:tcW w:w="1094" w:type="dxa"/>
            <w:gridSpan w:val="4"/>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2</w:t>
            </w:r>
          </w:p>
        </w:tc>
        <w:tc>
          <w:tcPr>
            <w:tcW w:w="1398"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废气治理(万元)</w:t>
            </w:r>
          </w:p>
        </w:tc>
        <w:tc>
          <w:tcPr>
            <w:tcW w:w="1100" w:type="dxa"/>
            <w:gridSpan w:val="2"/>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23</w:t>
            </w:r>
          </w:p>
        </w:tc>
        <w:tc>
          <w:tcPr>
            <w:tcW w:w="14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噪声治理(万元)</w:t>
            </w:r>
          </w:p>
        </w:tc>
        <w:tc>
          <w:tcPr>
            <w:tcW w:w="1043" w:type="dxa"/>
            <w:gridSpan w:val="3"/>
            <w:vAlign w:val="center"/>
          </w:tcPr>
          <w:p>
            <w:pPr>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2</w:t>
            </w:r>
          </w:p>
        </w:tc>
        <w:tc>
          <w:tcPr>
            <w:tcW w:w="1451"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固废治理(万元)</w:t>
            </w:r>
          </w:p>
        </w:tc>
        <w:tc>
          <w:tcPr>
            <w:tcW w:w="1157"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702"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绿化及生态(万元)</w:t>
            </w:r>
          </w:p>
        </w:tc>
        <w:tc>
          <w:tcPr>
            <w:tcW w:w="987"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15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其他(万元)</w:t>
            </w:r>
          </w:p>
        </w:tc>
        <w:tc>
          <w:tcPr>
            <w:tcW w:w="1042"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2138"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新增废水处理设施能力</w:t>
            </w:r>
          </w:p>
        </w:tc>
        <w:tc>
          <w:tcPr>
            <w:tcW w:w="3025" w:type="dxa"/>
            <w:gridSpan w:val="8"/>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45"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新增废气处理设施能力</w:t>
            </w:r>
          </w:p>
        </w:tc>
        <w:tc>
          <w:tcPr>
            <w:tcW w:w="2977"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年平均工作时</w:t>
            </w:r>
          </w:p>
        </w:tc>
        <w:tc>
          <w:tcPr>
            <w:tcW w:w="2953"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r>
              <w:rPr>
                <w:rFonts w:hint="eastAsia" w:cs="Times New Roman"/>
                <w:sz w:val="18"/>
                <w:szCs w:val="18"/>
                <w:lang w:val="en-US" w:eastAsia="zh-CN"/>
              </w:rPr>
              <w:t>24</w:t>
            </w:r>
            <w:r>
              <w:rPr>
                <w:rFonts w:hint="default" w:ascii="Times New Roman" w:hAnsi="Times New Roman" w:cs="Times New Roman"/>
                <w:sz w:val="18"/>
                <w:szCs w:val="18"/>
              </w:rPr>
              <w:t>d/a，</w:t>
            </w:r>
            <w:r>
              <w:rPr>
                <w:rFonts w:hint="eastAsia" w:cs="Times New Roman"/>
                <w:sz w:val="18"/>
                <w:szCs w:val="18"/>
                <w:lang w:val="en-US" w:eastAsia="zh-CN"/>
              </w:rPr>
              <w:t>9</w:t>
            </w:r>
            <w:r>
              <w:rPr>
                <w:rFonts w:hint="default" w:ascii="Times New Roman" w:hAnsi="Times New Roman" w:cs="Times New Roman"/>
                <w:sz w:val="18"/>
                <w:szCs w:val="18"/>
              </w:rPr>
              <w:t>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879"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运营单位</w:t>
            </w:r>
          </w:p>
        </w:tc>
        <w:tc>
          <w:tcPr>
            <w:tcW w:w="3171" w:type="dxa"/>
            <w:gridSpan w:val="7"/>
            <w:vAlign w:val="center"/>
          </w:tcPr>
          <w:p>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平阳县万鹏表面处理有限公司</w:t>
            </w:r>
          </w:p>
        </w:tc>
        <w:tc>
          <w:tcPr>
            <w:tcW w:w="3692" w:type="dxa"/>
            <w:gridSpan w:val="9"/>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运营单位社会统一信用代码(或组织机构代码)</w:t>
            </w:r>
          </w:p>
        </w:tc>
        <w:tc>
          <w:tcPr>
            <w:tcW w:w="2977" w:type="dxa"/>
            <w:gridSpan w:val="5"/>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913303265917675360</w:t>
            </w:r>
          </w:p>
        </w:tc>
        <w:tc>
          <w:tcPr>
            <w:tcW w:w="192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验收时间</w:t>
            </w:r>
          </w:p>
        </w:tc>
        <w:tc>
          <w:tcPr>
            <w:tcW w:w="2953" w:type="dxa"/>
            <w:gridSpan w:val="5"/>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3" w:hRule="atLeast"/>
          <w:jc w:val="center"/>
        </w:trPr>
        <w:tc>
          <w:tcPr>
            <w:tcW w:w="63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污染物排放达标与总量控制(</w:t>
            </w:r>
            <w:r>
              <w:rPr>
                <w:rFonts w:hint="default" w:ascii="Times New Roman" w:hAnsi="Times New Roman" w:cs="Times New Roman"/>
                <w:spacing w:val="-6"/>
                <w:sz w:val="18"/>
                <w:szCs w:val="18"/>
              </w:rPr>
              <w:t>工业建设项</w:t>
            </w:r>
            <w:r>
              <w:rPr>
                <w:rFonts w:hint="default" w:ascii="Times New Roman" w:hAnsi="Times New Roman" w:cs="Times New Roman"/>
                <w:spacing w:val="-12"/>
                <w:sz w:val="18"/>
                <w:szCs w:val="18"/>
              </w:rPr>
              <w:t>目详填</w:t>
            </w:r>
            <w:r>
              <w:rPr>
                <w:rFonts w:hint="default" w:ascii="Times New Roman" w:hAnsi="Times New Roman" w:cs="Times New Roman"/>
                <w:sz w:val="18"/>
                <w:szCs w:val="18"/>
              </w:rPr>
              <w:t>)</w:t>
            </w: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污染物</w:t>
            </w:r>
          </w:p>
        </w:tc>
        <w:tc>
          <w:tcPr>
            <w:tcW w:w="78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原排放量(1)</w:t>
            </w:r>
          </w:p>
        </w:tc>
        <w:tc>
          <w:tcPr>
            <w:tcW w:w="11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本期生活实际排放浓度(2)</w:t>
            </w:r>
          </w:p>
        </w:tc>
        <w:tc>
          <w:tcPr>
            <w:tcW w:w="117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本期工程允许排放浓度(3)</w:t>
            </w:r>
          </w:p>
        </w:tc>
        <w:tc>
          <w:tcPr>
            <w:tcW w:w="1020"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本期工程产生量(4)</w:t>
            </w:r>
          </w:p>
        </w:tc>
        <w:tc>
          <w:tcPr>
            <w:tcW w:w="1235"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本期工程自身削减量(5)</w:t>
            </w:r>
          </w:p>
        </w:tc>
        <w:tc>
          <w:tcPr>
            <w:tcW w:w="1096"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本期工程实际排放量(6)</w:t>
            </w:r>
          </w:p>
        </w:tc>
        <w:tc>
          <w:tcPr>
            <w:tcW w:w="1171"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本期工程核定排放总量(7)</w:t>
            </w:r>
          </w:p>
        </w:tc>
        <w:tc>
          <w:tcPr>
            <w:tcW w:w="1274"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pacing w:val="-6"/>
                <w:sz w:val="18"/>
                <w:szCs w:val="18"/>
              </w:rPr>
              <w:t>本期工程“以新代老”削减量</w:t>
            </w:r>
            <w:r>
              <w:rPr>
                <w:rFonts w:hint="default" w:ascii="Times New Roman" w:hAnsi="Times New Roman" w:cs="Times New Roman"/>
                <w:sz w:val="18"/>
                <w:szCs w:val="18"/>
              </w:rPr>
              <w:t>(8)</w:t>
            </w:r>
          </w:p>
        </w:tc>
        <w:tc>
          <w:tcPr>
            <w:tcW w:w="1050"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全厂实际排放总量(9)</w:t>
            </w:r>
          </w:p>
        </w:tc>
        <w:tc>
          <w:tcPr>
            <w:tcW w:w="1123"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全厂核定排放总量(10)</w:t>
            </w:r>
          </w:p>
        </w:tc>
        <w:tc>
          <w:tcPr>
            <w:tcW w:w="1194"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区域平衡替代削减量(11)</w:t>
            </w:r>
          </w:p>
        </w:tc>
        <w:tc>
          <w:tcPr>
            <w:tcW w:w="1052"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废水</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170"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sz w:val="18"/>
                <w:szCs w:val="18"/>
              </w:rPr>
            </w:pPr>
          </w:p>
        </w:tc>
        <w:tc>
          <w:tcPr>
            <w:tcW w:w="1096" w:type="dxa"/>
            <w:gridSpan w:val="3"/>
            <w:vAlign w:val="center"/>
          </w:tcPr>
          <w:p>
            <w:pPr>
              <w:jc w:val="center"/>
              <w:rPr>
                <w:rFonts w:hint="default" w:ascii="Times New Roman" w:hAnsi="Times New Roman" w:eastAsia="宋体" w:cs="Times New Roman"/>
                <w:sz w:val="18"/>
                <w:szCs w:val="18"/>
                <w:lang w:val="en-US" w:eastAsia="zh-CN"/>
              </w:rPr>
            </w:pPr>
          </w:p>
        </w:tc>
        <w:tc>
          <w:tcPr>
            <w:tcW w:w="1171" w:type="dxa"/>
            <w:gridSpan w:val="2"/>
            <w:vAlign w:val="center"/>
          </w:tcPr>
          <w:p>
            <w:pPr>
              <w:jc w:val="center"/>
              <w:rPr>
                <w:rFonts w:hint="default" w:ascii="Times New Roman" w:hAnsi="Times New Roman" w:eastAsia="宋体" w:cs="Times New Roman"/>
                <w:sz w:val="18"/>
                <w:szCs w:val="18"/>
                <w:lang w:val="en-US" w:eastAsia="zh-CN"/>
              </w:rPr>
            </w:pPr>
          </w:p>
        </w:tc>
        <w:tc>
          <w:tcPr>
            <w:tcW w:w="1274" w:type="dxa"/>
            <w:gridSpan w:val="2"/>
            <w:vAlign w:val="center"/>
          </w:tcPr>
          <w:p>
            <w:pPr>
              <w:jc w:val="center"/>
              <w:rPr>
                <w:rFonts w:hint="default" w:ascii="Times New Roman" w:hAnsi="Times New Roman" w:eastAsia="宋体" w:cs="Times New Roman"/>
                <w:color w:val="000000"/>
                <w:sz w:val="18"/>
                <w:szCs w:val="18"/>
                <w:lang w:val="en-US" w:eastAsia="zh-CN"/>
              </w:rPr>
            </w:pPr>
          </w:p>
        </w:tc>
        <w:tc>
          <w:tcPr>
            <w:tcW w:w="105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3.2024</w:t>
            </w:r>
          </w:p>
        </w:tc>
        <w:tc>
          <w:tcPr>
            <w:tcW w:w="1123" w:type="dxa"/>
            <w:gridSpan w:val="3"/>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4.19607</w:t>
            </w: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cs="Times New Roman"/>
                <w:sz w:val="18"/>
                <w:szCs w:val="18"/>
                <w:lang w:val="en-US" w:eastAsia="zh-CN"/>
              </w:rPr>
            </w:pPr>
            <w:r>
              <w:rPr>
                <w:rFonts w:hint="eastAsia" w:cs="Times New Roman"/>
                <w:sz w:val="18"/>
                <w:szCs w:val="18"/>
                <w:lang w:val="en-US" w:eastAsia="zh-CN"/>
              </w:rPr>
              <w:t>-0.144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化学需氧量</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126</w:t>
            </w:r>
          </w:p>
        </w:tc>
        <w:tc>
          <w:tcPr>
            <w:tcW w:w="1170" w:type="dxa"/>
            <w:gridSpan w:val="2"/>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500</w:t>
            </w: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sz w:val="18"/>
                <w:szCs w:val="18"/>
              </w:rPr>
            </w:pPr>
          </w:p>
        </w:tc>
        <w:tc>
          <w:tcPr>
            <w:tcW w:w="1096" w:type="dxa"/>
            <w:gridSpan w:val="3"/>
            <w:vAlign w:val="center"/>
          </w:tcPr>
          <w:p>
            <w:pPr>
              <w:jc w:val="center"/>
              <w:rPr>
                <w:rFonts w:hint="default" w:ascii="Times New Roman" w:hAnsi="Times New Roman" w:eastAsia="宋体" w:cs="Times New Roman"/>
                <w:sz w:val="18"/>
                <w:szCs w:val="18"/>
                <w:lang w:val="en-US" w:eastAsia="zh-CN"/>
              </w:rPr>
            </w:pPr>
          </w:p>
        </w:tc>
        <w:tc>
          <w:tcPr>
            <w:tcW w:w="1171" w:type="dxa"/>
            <w:gridSpan w:val="2"/>
            <w:vAlign w:val="center"/>
          </w:tcPr>
          <w:p>
            <w:pPr>
              <w:jc w:val="center"/>
              <w:rPr>
                <w:rFonts w:hint="default" w:ascii="Times New Roman" w:hAnsi="Times New Roman" w:eastAsia="宋体" w:cs="Times New Roman"/>
                <w:sz w:val="18"/>
                <w:szCs w:val="18"/>
                <w:lang w:val="en-US" w:eastAsia="zh-CN"/>
              </w:rPr>
            </w:pPr>
          </w:p>
        </w:tc>
        <w:tc>
          <w:tcPr>
            <w:tcW w:w="1274" w:type="dxa"/>
            <w:gridSpan w:val="2"/>
            <w:vAlign w:val="center"/>
          </w:tcPr>
          <w:p>
            <w:pPr>
              <w:jc w:val="center"/>
              <w:rPr>
                <w:rFonts w:hint="default" w:ascii="Times New Roman" w:hAnsi="Times New Roman" w:eastAsia="宋体" w:cs="Times New Roman"/>
                <w:color w:val="000000"/>
                <w:sz w:val="18"/>
                <w:szCs w:val="18"/>
                <w:lang w:val="en-US" w:eastAsia="zh-CN"/>
              </w:rPr>
            </w:pPr>
          </w:p>
        </w:tc>
        <w:tc>
          <w:tcPr>
            <w:tcW w:w="105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1.60</w:t>
            </w:r>
          </w:p>
        </w:tc>
        <w:tc>
          <w:tcPr>
            <w:tcW w:w="1123" w:type="dxa"/>
            <w:gridSpan w:val="3"/>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2.09</w:t>
            </w: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cs="Times New Roman"/>
                <w:sz w:val="18"/>
                <w:szCs w:val="18"/>
                <w:lang w:val="en-US" w:eastAsia="zh-CN"/>
              </w:rPr>
            </w:pPr>
            <w:r>
              <w:rPr>
                <w:rFonts w:hint="eastAsia" w:cs="Times New Roman"/>
                <w:sz w:val="18"/>
                <w:szCs w:val="18"/>
                <w:lang w:val="en-US" w:eastAsia="zh-CN"/>
              </w:rPr>
              <w:t>-0.506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氨氮</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14.5</w:t>
            </w:r>
          </w:p>
        </w:tc>
        <w:tc>
          <w:tcPr>
            <w:tcW w:w="1170" w:type="dxa"/>
            <w:gridSpan w:val="2"/>
            <w:vAlign w:val="center"/>
          </w:tcPr>
          <w:p>
            <w:pPr>
              <w:jc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35</w:t>
            </w: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sz w:val="18"/>
                <w:szCs w:val="18"/>
              </w:rPr>
            </w:pPr>
          </w:p>
        </w:tc>
        <w:tc>
          <w:tcPr>
            <w:tcW w:w="1096" w:type="dxa"/>
            <w:gridSpan w:val="3"/>
            <w:vAlign w:val="center"/>
          </w:tcPr>
          <w:p>
            <w:pPr>
              <w:jc w:val="center"/>
              <w:rPr>
                <w:rFonts w:hint="default" w:ascii="Times New Roman" w:hAnsi="Times New Roman" w:eastAsia="宋体" w:cs="Times New Roman"/>
                <w:sz w:val="18"/>
                <w:szCs w:val="18"/>
                <w:lang w:val="en-US" w:eastAsia="zh-CN"/>
              </w:rPr>
            </w:pPr>
          </w:p>
        </w:tc>
        <w:tc>
          <w:tcPr>
            <w:tcW w:w="1171" w:type="dxa"/>
            <w:gridSpan w:val="2"/>
            <w:vAlign w:val="center"/>
          </w:tcPr>
          <w:p>
            <w:pPr>
              <w:jc w:val="center"/>
              <w:rPr>
                <w:rFonts w:hint="default" w:ascii="Times New Roman" w:hAnsi="Times New Roman" w:eastAsia="宋体" w:cs="Times New Roman"/>
                <w:sz w:val="18"/>
                <w:szCs w:val="18"/>
                <w:lang w:val="en-US" w:eastAsia="zh-CN"/>
              </w:rPr>
            </w:pPr>
          </w:p>
        </w:tc>
        <w:tc>
          <w:tcPr>
            <w:tcW w:w="1274" w:type="dxa"/>
            <w:gridSpan w:val="2"/>
            <w:vAlign w:val="center"/>
          </w:tcPr>
          <w:p>
            <w:pPr>
              <w:jc w:val="center"/>
              <w:rPr>
                <w:rFonts w:hint="default" w:ascii="Times New Roman" w:hAnsi="Times New Roman" w:eastAsia="宋体" w:cs="Times New Roman"/>
                <w:color w:val="000000"/>
                <w:sz w:val="18"/>
                <w:szCs w:val="18"/>
                <w:lang w:val="en-US" w:eastAsia="zh-CN"/>
              </w:rPr>
            </w:pPr>
          </w:p>
        </w:tc>
        <w:tc>
          <w:tcPr>
            <w:tcW w:w="1050" w:type="dxa"/>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0.160</w:t>
            </w:r>
          </w:p>
        </w:tc>
        <w:tc>
          <w:tcPr>
            <w:tcW w:w="1123" w:type="dxa"/>
            <w:gridSpan w:val="3"/>
            <w:vAlign w:val="center"/>
          </w:tcPr>
          <w:p>
            <w:pPr>
              <w:jc w:val="center"/>
              <w:rPr>
                <w:rFonts w:hint="default" w:ascii="Times New Roman" w:hAnsi="Times New Roman" w:eastAsia="宋体" w:cs="Times New Roman"/>
                <w:kern w:val="2"/>
                <w:sz w:val="18"/>
                <w:szCs w:val="18"/>
                <w:lang w:val="en-US" w:eastAsia="zh-CN" w:bidi="ar-SA"/>
              </w:rPr>
            </w:pPr>
            <w:r>
              <w:rPr>
                <w:rFonts w:hint="eastAsia" w:cs="Times New Roman"/>
                <w:sz w:val="18"/>
                <w:szCs w:val="18"/>
                <w:lang w:val="en-US" w:eastAsia="zh-CN"/>
              </w:rPr>
              <w:t>0.21</w:t>
            </w: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cs="Times New Roman"/>
                <w:sz w:val="18"/>
                <w:szCs w:val="18"/>
                <w:lang w:val="en-US" w:eastAsia="zh-CN"/>
              </w:rPr>
            </w:pPr>
            <w:r>
              <w:rPr>
                <w:rFonts w:hint="eastAsia" w:cs="Times New Roman"/>
                <w:sz w:val="18"/>
                <w:szCs w:val="18"/>
                <w:lang w:val="en-US" w:eastAsia="zh-CN"/>
              </w:rPr>
              <w:t>-0.137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石油类</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color w:val="FF0000"/>
                <w:sz w:val="18"/>
                <w:szCs w:val="18"/>
              </w:rPr>
            </w:pPr>
          </w:p>
        </w:tc>
        <w:tc>
          <w:tcPr>
            <w:tcW w:w="1170" w:type="dxa"/>
            <w:gridSpan w:val="2"/>
            <w:vAlign w:val="center"/>
          </w:tcPr>
          <w:p>
            <w:pPr>
              <w:jc w:val="center"/>
              <w:rPr>
                <w:rFonts w:hint="default" w:ascii="Times New Roman" w:hAnsi="Times New Roman" w:cs="Times New Roman"/>
                <w:color w:val="FF0000"/>
                <w:sz w:val="18"/>
                <w:szCs w:val="18"/>
              </w:rPr>
            </w:pPr>
          </w:p>
        </w:tc>
        <w:tc>
          <w:tcPr>
            <w:tcW w:w="1020" w:type="dxa"/>
            <w:gridSpan w:val="3"/>
            <w:vAlign w:val="center"/>
          </w:tcPr>
          <w:p>
            <w:pPr>
              <w:jc w:val="center"/>
              <w:rPr>
                <w:rFonts w:hint="default" w:ascii="Times New Roman" w:hAnsi="Times New Roman" w:cs="Times New Roman"/>
                <w:color w:val="FF0000"/>
                <w:sz w:val="18"/>
                <w:szCs w:val="18"/>
              </w:rPr>
            </w:pPr>
          </w:p>
        </w:tc>
        <w:tc>
          <w:tcPr>
            <w:tcW w:w="1235" w:type="dxa"/>
            <w:gridSpan w:val="2"/>
            <w:vAlign w:val="center"/>
          </w:tcPr>
          <w:p>
            <w:pPr>
              <w:jc w:val="center"/>
              <w:rPr>
                <w:rFonts w:hint="default" w:ascii="Times New Roman" w:hAnsi="Times New Roman" w:cs="Times New Roman"/>
                <w:color w:val="FF0000"/>
                <w:sz w:val="18"/>
                <w:szCs w:val="18"/>
              </w:rPr>
            </w:pPr>
          </w:p>
        </w:tc>
        <w:tc>
          <w:tcPr>
            <w:tcW w:w="1096" w:type="dxa"/>
            <w:gridSpan w:val="3"/>
            <w:vAlign w:val="center"/>
          </w:tcPr>
          <w:p>
            <w:pPr>
              <w:jc w:val="center"/>
              <w:rPr>
                <w:rFonts w:hint="default" w:ascii="Times New Roman" w:hAnsi="Times New Roman" w:cs="Times New Roman"/>
                <w:color w:val="FF0000"/>
                <w:sz w:val="18"/>
                <w:szCs w:val="18"/>
              </w:rPr>
            </w:pPr>
          </w:p>
        </w:tc>
        <w:tc>
          <w:tcPr>
            <w:tcW w:w="1171" w:type="dxa"/>
            <w:gridSpan w:val="2"/>
            <w:vAlign w:val="center"/>
          </w:tcPr>
          <w:p>
            <w:pPr>
              <w:jc w:val="center"/>
              <w:rPr>
                <w:rFonts w:hint="default" w:ascii="Times New Roman" w:hAnsi="Times New Roman" w:cs="Times New Roman"/>
                <w:color w:val="FF0000"/>
                <w:sz w:val="18"/>
                <w:szCs w:val="18"/>
              </w:rPr>
            </w:pPr>
          </w:p>
        </w:tc>
        <w:tc>
          <w:tcPr>
            <w:tcW w:w="1274" w:type="dxa"/>
            <w:gridSpan w:val="2"/>
            <w:vAlign w:val="center"/>
          </w:tcPr>
          <w:p>
            <w:pPr>
              <w:jc w:val="center"/>
              <w:rPr>
                <w:rFonts w:hint="default" w:ascii="Times New Roman" w:hAnsi="Times New Roman" w:cs="Times New Roman"/>
                <w:color w:val="000000"/>
                <w:sz w:val="18"/>
                <w:szCs w:val="18"/>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废气</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color w:val="FF0000"/>
                <w:sz w:val="18"/>
                <w:szCs w:val="18"/>
              </w:rPr>
            </w:pPr>
          </w:p>
        </w:tc>
        <w:tc>
          <w:tcPr>
            <w:tcW w:w="1170" w:type="dxa"/>
            <w:gridSpan w:val="2"/>
            <w:vAlign w:val="center"/>
          </w:tcPr>
          <w:p>
            <w:pPr>
              <w:jc w:val="center"/>
              <w:rPr>
                <w:rFonts w:hint="default" w:ascii="Times New Roman" w:hAnsi="Times New Roman" w:cs="Times New Roman"/>
                <w:color w:val="FF0000"/>
                <w:sz w:val="18"/>
                <w:szCs w:val="18"/>
              </w:rPr>
            </w:pPr>
          </w:p>
        </w:tc>
        <w:tc>
          <w:tcPr>
            <w:tcW w:w="1020" w:type="dxa"/>
            <w:gridSpan w:val="3"/>
            <w:vAlign w:val="center"/>
          </w:tcPr>
          <w:p>
            <w:pPr>
              <w:jc w:val="center"/>
              <w:rPr>
                <w:rFonts w:hint="default" w:ascii="Times New Roman" w:hAnsi="Times New Roman" w:cs="Times New Roman"/>
                <w:color w:val="FF0000"/>
                <w:sz w:val="18"/>
                <w:szCs w:val="18"/>
              </w:rPr>
            </w:pPr>
          </w:p>
        </w:tc>
        <w:tc>
          <w:tcPr>
            <w:tcW w:w="1235" w:type="dxa"/>
            <w:gridSpan w:val="2"/>
            <w:vAlign w:val="center"/>
          </w:tcPr>
          <w:p>
            <w:pPr>
              <w:jc w:val="center"/>
              <w:rPr>
                <w:rFonts w:hint="default" w:ascii="Times New Roman" w:hAnsi="Times New Roman" w:cs="Times New Roman"/>
                <w:color w:val="FF0000"/>
                <w:sz w:val="18"/>
                <w:szCs w:val="18"/>
              </w:rPr>
            </w:pPr>
          </w:p>
        </w:tc>
        <w:tc>
          <w:tcPr>
            <w:tcW w:w="1096" w:type="dxa"/>
            <w:gridSpan w:val="3"/>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color w:val="000000"/>
                <w:sz w:val="18"/>
                <w:szCs w:val="18"/>
              </w:rPr>
              <w:t>——</w:t>
            </w:r>
          </w:p>
        </w:tc>
        <w:tc>
          <w:tcPr>
            <w:tcW w:w="1171" w:type="dxa"/>
            <w:gridSpan w:val="2"/>
            <w:vAlign w:val="center"/>
          </w:tcPr>
          <w:p>
            <w:pPr>
              <w:jc w:val="center"/>
              <w:rPr>
                <w:rFonts w:hint="default" w:ascii="Times New Roman" w:hAnsi="Times New Roman" w:cs="Times New Roman"/>
                <w:color w:val="FF0000"/>
                <w:sz w:val="18"/>
                <w:szCs w:val="18"/>
              </w:rPr>
            </w:pPr>
            <w:r>
              <w:rPr>
                <w:rFonts w:hint="default" w:ascii="Times New Roman" w:hAnsi="Times New Roman" w:cs="Times New Roman"/>
                <w:color w:val="000000"/>
                <w:sz w:val="18"/>
                <w:szCs w:val="18"/>
              </w:rPr>
              <w:t>——</w:t>
            </w:r>
          </w:p>
        </w:tc>
        <w:tc>
          <w:tcPr>
            <w:tcW w:w="1274" w:type="dxa"/>
            <w:gridSpan w:val="2"/>
            <w:vAlign w:val="center"/>
          </w:tcPr>
          <w:p>
            <w:pPr>
              <w:jc w:val="center"/>
              <w:rPr>
                <w:rFonts w:hint="default" w:ascii="Times New Roman" w:hAnsi="Times New Roman" w:cs="Times New Roman"/>
                <w:color w:val="000000"/>
                <w:sz w:val="18"/>
                <w:szCs w:val="18"/>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工业粉尘</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color w:val="FF0000"/>
                <w:sz w:val="18"/>
                <w:szCs w:val="18"/>
              </w:rPr>
            </w:pPr>
          </w:p>
        </w:tc>
        <w:tc>
          <w:tcPr>
            <w:tcW w:w="1170" w:type="dxa"/>
            <w:gridSpan w:val="2"/>
            <w:vAlign w:val="center"/>
          </w:tcPr>
          <w:p>
            <w:pPr>
              <w:jc w:val="center"/>
              <w:rPr>
                <w:rFonts w:hint="default" w:ascii="Times New Roman" w:hAnsi="Times New Roman" w:cs="Times New Roman"/>
                <w:color w:val="FF0000"/>
                <w:sz w:val="18"/>
                <w:szCs w:val="18"/>
              </w:rPr>
            </w:pPr>
          </w:p>
        </w:tc>
        <w:tc>
          <w:tcPr>
            <w:tcW w:w="1020" w:type="dxa"/>
            <w:gridSpan w:val="3"/>
            <w:vAlign w:val="center"/>
          </w:tcPr>
          <w:p>
            <w:pPr>
              <w:jc w:val="center"/>
              <w:rPr>
                <w:rFonts w:hint="default" w:ascii="Times New Roman" w:hAnsi="Times New Roman" w:cs="Times New Roman"/>
                <w:color w:val="FF0000"/>
                <w:sz w:val="18"/>
                <w:szCs w:val="18"/>
              </w:rPr>
            </w:pPr>
          </w:p>
        </w:tc>
        <w:tc>
          <w:tcPr>
            <w:tcW w:w="1235" w:type="dxa"/>
            <w:gridSpan w:val="2"/>
            <w:vAlign w:val="center"/>
          </w:tcPr>
          <w:p>
            <w:pPr>
              <w:jc w:val="center"/>
              <w:rPr>
                <w:rFonts w:hint="default" w:ascii="Times New Roman" w:hAnsi="Times New Roman" w:cs="Times New Roman"/>
                <w:color w:val="FF0000"/>
                <w:sz w:val="18"/>
                <w:szCs w:val="18"/>
              </w:rPr>
            </w:pPr>
          </w:p>
        </w:tc>
        <w:tc>
          <w:tcPr>
            <w:tcW w:w="1096" w:type="dxa"/>
            <w:gridSpan w:val="3"/>
            <w:vAlign w:val="center"/>
          </w:tcPr>
          <w:p>
            <w:pPr>
              <w:jc w:val="center"/>
              <w:rPr>
                <w:rFonts w:hint="default" w:ascii="Times New Roman" w:hAnsi="Times New Roman" w:cs="Times New Roman"/>
                <w:color w:val="FF0000"/>
                <w:sz w:val="18"/>
                <w:szCs w:val="18"/>
              </w:rPr>
            </w:pPr>
          </w:p>
        </w:tc>
        <w:tc>
          <w:tcPr>
            <w:tcW w:w="1171" w:type="dxa"/>
            <w:gridSpan w:val="2"/>
            <w:vAlign w:val="center"/>
          </w:tcPr>
          <w:p>
            <w:pPr>
              <w:jc w:val="center"/>
              <w:rPr>
                <w:rFonts w:hint="default" w:ascii="Times New Roman" w:hAnsi="Times New Roman" w:cs="Times New Roman"/>
                <w:color w:val="FF0000"/>
                <w:sz w:val="18"/>
                <w:szCs w:val="18"/>
              </w:rPr>
            </w:pPr>
          </w:p>
        </w:tc>
        <w:tc>
          <w:tcPr>
            <w:tcW w:w="1274" w:type="dxa"/>
            <w:gridSpan w:val="2"/>
            <w:vAlign w:val="center"/>
          </w:tcPr>
          <w:p>
            <w:pPr>
              <w:jc w:val="center"/>
              <w:rPr>
                <w:rFonts w:hint="default" w:ascii="Times New Roman" w:hAnsi="Times New Roman" w:cs="Times New Roman"/>
                <w:sz w:val="18"/>
                <w:szCs w:val="18"/>
              </w:rPr>
            </w:pPr>
          </w:p>
        </w:tc>
        <w:tc>
          <w:tcPr>
            <w:tcW w:w="1050" w:type="dxa"/>
            <w:vAlign w:val="center"/>
          </w:tcPr>
          <w:p>
            <w:pPr>
              <w:jc w:val="center"/>
              <w:rPr>
                <w:rFonts w:hint="default" w:ascii="Times New Roman" w:hAnsi="Times New Roman" w:cs="Times New Roman"/>
                <w:color w:val="000000"/>
                <w:sz w:val="18"/>
                <w:szCs w:val="18"/>
              </w:rPr>
            </w:pPr>
          </w:p>
        </w:tc>
        <w:tc>
          <w:tcPr>
            <w:tcW w:w="1123" w:type="dxa"/>
            <w:gridSpan w:val="3"/>
            <w:vAlign w:val="center"/>
          </w:tcPr>
          <w:p>
            <w:pPr>
              <w:jc w:val="center"/>
              <w:rPr>
                <w:rFonts w:hint="default" w:ascii="Times New Roman" w:hAnsi="Times New Roman" w:cs="Times New Roman"/>
                <w:color w:val="000000"/>
                <w:sz w:val="18"/>
                <w:szCs w:val="18"/>
              </w:rPr>
            </w:pPr>
          </w:p>
        </w:tc>
        <w:tc>
          <w:tcPr>
            <w:tcW w:w="1194" w:type="dxa"/>
            <w:gridSpan w:val="2"/>
            <w:vAlign w:val="center"/>
          </w:tcPr>
          <w:p>
            <w:pPr>
              <w:jc w:val="center"/>
              <w:rPr>
                <w:rFonts w:hint="default" w:ascii="Times New Roman" w:hAnsi="Times New Roman" w:cs="Times New Roman"/>
                <w:color w:val="000000"/>
                <w:sz w:val="18"/>
                <w:szCs w:val="18"/>
              </w:rPr>
            </w:pPr>
          </w:p>
        </w:tc>
        <w:tc>
          <w:tcPr>
            <w:tcW w:w="1052" w:type="dxa"/>
            <w:gridSpan w:val="2"/>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二氧化硫</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sz w:val="18"/>
                <w:szCs w:val="18"/>
              </w:rPr>
            </w:pPr>
          </w:p>
        </w:tc>
        <w:tc>
          <w:tcPr>
            <w:tcW w:w="1050" w:type="dxa"/>
            <w:vAlign w:val="center"/>
          </w:tcPr>
          <w:p>
            <w:pPr>
              <w:jc w:val="center"/>
              <w:rPr>
                <w:rFonts w:hint="default" w:ascii="Times New Roman" w:hAnsi="Times New Roman" w:cs="Times New Roman"/>
                <w:color w:val="000000"/>
                <w:sz w:val="18"/>
                <w:szCs w:val="18"/>
              </w:rPr>
            </w:pPr>
          </w:p>
        </w:tc>
        <w:tc>
          <w:tcPr>
            <w:tcW w:w="1123" w:type="dxa"/>
            <w:gridSpan w:val="3"/>
            <w:vAlign w:val="center"/>
          </w:tcPr>
          <w:p>
            <w:pPr>
              <w:jc w:val="center"/>
              <w:rPr>
                <w:rFonts w:hint="default" w:ascii="Times New Roman" w:hAnsi="Times New Roman" w:cs="Times New Roman"/>
                <w:color w:val="000000"/>
                <w:sz w:val="18"/>
                <w:szCs w:val="18"/>
              </w:rPr>
            </w:pPr>
          </w:p>
        </w:tc>
        <w:tc>
          <w:tcPr>
            <w:tcW w:w="1194" w:type="dxa"/>
            <w:gridSpan w:val="2"/>
            <w:vAlign w:val="center"/>
          </w:tcPr>
          <w:p>
            <w:pPr>
              <w:jc w:val="center"/>
              <w:rPr>
                <w:rFonts w:hint="default" w:ascii="Times New Roman" w:hAnsi="Times New Roman" w:cs="Times New Roman"/>
                <w:color w:val="000000"/>
                <w:sz w:val="18"/>
                <w:szCs w:val="18"/>
              </w:rPr>
            </w:pPr>
          </w:p>
        </w:tc>
        <w:tc>
          <w:tcPr>
            <w:tcW w:w="1052" w:type="dxa"/>
            <w:gridSpan w:val="2"/>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氮氧化物</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sz w:val="18"/>
                <w:szCs w:val="18"/>
              </w:rPr>
            </w:pPr>
          </w:p>
        </w:tc>
        <w:tc>
          <w:tcPr>
            <w:tcW w:w="1050" w:type="dxa"/>
            <w:vAlign w:val="center"/>
          </w:tcPr>
          <w:p>
            <w:pPr>
              <w:jc w:val="center"/>
              <w:rPr>
                <w:rFonts w:hint="default" w:ascii="Times New Roman" w:hAnsi="Times New Roman" w:cs="Times New Roman"/>
                <w:color w:val="000000"/>
                <w:sz w:val="18"/>
                <w:szCs w:val="18"/>
              </w:rPr>
            </w:pPr>
          </w:p>
        </w:tc>
        <w:tc>
          <w:tcPr>
            <w:tcW w:w="1123" w:type="dxa"/>
            <w:gridSpan w:val="3"/>
            <w:vAlign w:val="center"/>
          </w:tcPr>
          <w:p>
            <w:pPr>
              <w:jc w:val="center"/>
              <w:rPr>
                <w:rFonts w:hint="default" w:ascii="Times New Roman" w:hAnsi="Times New Roman" w:cs="Times New Roman"/>
                <w:color w:val="000000"/>
                <w:sz w:val="18"/>
                <w:szCs w:val="18"/>
              </w:rPr>
            </w:pPr>
          </w:p>
        </w:tc>
        <w:tc>
          <w:tcPr>
            <w:tcW w:w="1194" w:type="dxa"/>
            <w:gridSpan w:val="2"/>
            <w:vAlign w:val="center"/>
          </w:tcPr>
          <w:p>
            <w:pPr>
              <w:jc w:val="center"/>
              <w:rPr>
                <w:rFonts w:hint="default" w:ascii="Times New Roman" w:hAnsi="Times New Roman" w:cs="Times New Roman"/>
                <w:color w:val="000000"/>
                <w:sz w:val="18"/>
                <w:szCs w:val="18"/>
              </w:rPr>
            </w:pPr>
          </w:p>
        </w:tc>
        <w:tc>
          <w:tcPr>
            <w:tcW w:w="1052" w:type="dxa"/>
            <w:gridSpan w:val="2"/>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烟尘</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sz w:val="18"/>
                <w:szCs w:val="18"/>
              </w:rPr>
            </w:pPr>
          </w:p>
        </w:tc>
        <w:tc>
          <w:tcPr>
            <w:tcW w:w="1050" w:type="dxa"/>
            <w:vAlign w:val="center"/>
          </w:tcPr>
          <w:p>
            <w:pPr>
              <w:jc w:val="center"/>
              <w:rPr>
                <w:rFonts w:hint="default" w:ascii="Times New Roman" w:hAnsi="Times New Roman" w:cs="Times New Roman"/>
                <w:color w:val="000000"/>
                <w:sz w:val="18"/>
                <w:szCs w:val="18"/>
              </w:rPr>
            </w:pPr>
          </w:p>
        </w:tc>
        <w:tc>
          <w:tcPr>
            <w:tcW w:w="1123" w:type="dxa"/>
            <w:gridSpan w:val="3"/>
            <w:vAlign w:val="center"/>
          </w:tcPr>
          <w:p>
            <w:pPr>
              <w:jc w:val="center"/>
              <w:rPr>
                <w:rFonts w:hint="default" w:ascii="Times New Roman" w:hAnsi="Times New Roman" w:cs="Times New Roman"/>
                <w:color w:val="000000"/>
                <w:sz w:val="18"/>
                <w:szCs w:val="18"/>
              </w:rPr>
            </w:pPr>
          </w:p>
        </w:tc>
        <w:tc>
          <w:tcPr>
            <w:tcW w:w="1194" w:type="dxa"/>
            <w:gridSpan w:val="2"/>
            <w:vAlign w:val="center"/>
          </w:tcPr>
          <w:p>
            <w:pPr>
              <w:jc w:val="center"/>
              <w:rPr>
                <w:rFonts w:hint="default" w:ascii="Times New Roman" w:hAnsi="Times New Roman" w:cs="Times New Roman"/>
                <w:color w:val="000000"/>
                <w:sz w:val="18"/>
                <w:szCs w:val="18"/>
              </w:rPr>
            </w:pPr>
          </w:p>
        </w:tc>
        <w:tc>
          <w:tcPr>
            <w:tcW w:w="1052" w:type="dxa"/>
            <w:gridSpan w:val="2"/>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1648"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工业固体废物</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sz w:val="18"/>
                <w:szCs w:val="18"/>
              </w:rPr>
            </w:pPr>
          </w:p>
        </w:tc>
        <w:tc>
          <w:tcPr>
            <w:tcW w:w="1050" w:type="dxa"/>
            <w:vAlign w:val="center"/>
          </w:tcPr>
          <w:p>
            <w:pPr>
              <w:jc w:val="center"/>
              <w:rPr>
                <w:rFonts w:hint="default" w:ascii="Times New Roman" w:hAnsi="Times New Roman" w:cs="Times New Roman"/>
                <w:color w:val="000000"/>
                <w:sz w:val="18"/>
                <w:szCs w:val="18"/>
              </w:rPr>
            </w:pPr>
          </w:p>
        </w:tc>
        <w:tc>
          <w:tcPr>
            <w:tcW w:w="1123" w:type="dxa"/>
            <w:gridSpan w:val="3"/>
            <w:vAlign w:val="center"/>
          </w:tcPr>
          <w:p>
            <w:pPr>
              <w:jc w:val="center"/>
              <w:rPr>
                <w:rFonts w:hint="default" w:ascii="Times New Roman" w:hAnsi="Times New Roman" w:cs="Times New Roman"/>
                <w:color w:val="000000"/>
                <w:sz w:val="18"/>
                <w:szCs w:val="18"/>
              </w:rPr>
            </w:pPr>
          </w:p>
        </w:tc>
        <w:tc>
          <w:tcPr>
            <w:tcW w:w="1194" w:type="dxa"/>
            <w:gridSpan w:val="2"/>
            <w:vAlign w:val="center"/>
          </w:tcPr>
          <w:p>
            <w:pPr>
              <w:jc w:val="center"/>
              <w:rPr>
                <w:rFonts w:hint="default" w:ascii="Times New Roman" w:hAnsi="Times New Roman" w:cs="Times New Roman"/>
                <w:color w:val="000000"/>
                <w:sz w:val="18"/>
                <w:szCs w:val="18"/>
              </w:rPr>
            </w:pPr>
          </w:p>
        </w:tc>
        <w:tc>
          <w:tcPr>
            <w:tcW w:w="1052" w:type="dxa"/>
            <w:gridSpan w:val="2"/>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699" w:type="dxa"/>
            <w:gridSpan w:val="2"/>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与项目有关的其他污染物</w:t>
            </w:r>
          </w:p>
        </w:tc>
        <w:tc>
          <w:tcPr>
            <w:tcW w:w="949" w:type="dxa"/>
            <w:gridSpan w:val="2"/>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VOCs</w:t>
            </w: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699" w:type="dxa"/>
            <w:gridSpan w:val="2"/>
            <w:vMerge w:val="continue"/>
            <w:vAlign w:val="center"/>
          </w:tcPr>
          <w:p>
            <w:pPr>
              <w:jc w:val="center"/>
              <w:rPr>
                <w:rFonts w:hint="default" w:ascii="Times New Roman" w:hAnsi="Times New Roman" w:cs="Times New Roman"/>
                <w:sz w:val="18"/>
                <w:szCs w:val="18"/>
              </w:rPr>
            </w:pPr>
          </w:p>
        </w:tc>
        <w:tc>
          <w:tcPr>
            <w:tcW w:w="949" w:type="dxa"/>
            <w:gridSpan w:val="2"/>
            <w:vAlign w:val="center"/>
          </w:tcPr>
          <w:p>
            <w:pPr>
              <w:jc w:val="center"/>
              <w:rPr>
                <w:rFonts w:hint="default" w:ascii="Times New Roman" w:hAnsi="Times New Roman" w:cs="Times New Roman"/>
                <w:sz w:val="18"/>
                <w:szCs w:val="18"/>
              </w:rPr>
            </w:pP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color w:val="000000"/>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699" w:type="dxa"/>
            <w:gridSpan w:val="2"/>
            <w:vMerge w:val="continue"/>
            <w:vAlign w:val="center"/>
          </w:tcPr>
          <w:p>
            <w:pPr>
              <w:jc w:val="center"/>
              <w:rPr>
                <w:rFonts w:hint="default" w:ascii="Times New Roman" w:hAnsi="Times New Roman" w:cs="Times New Roman"/>
                <w:sz w:val="18"/>
                <w:szCs w:val="18"/>
              </w:rPr>
            </w:pPr>
          </w:p>
        </w:tc>
        <w:tc>
          <w:tcPr>
            <w:tcW w:w="949" w:type="dxa"/>
            <w:gridSpan w:val="2"/>
            <w:vAlign w:val="center"/>
          </w:tcPr>
          <w:p>
            <w:pPr>
              <w:jc w:val="center"/>
              <w:rPr>
                <w:rFonts w:hint="default" w:ascii="Times New Roman" w:hAnsi="Times New Roman" w:cs="Times New Roman"/>
                <w:i/>
                <w:sz w:val="18"/>
                <w:szCs w:val="18"/>
              </w:rPr>
            </w:pP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rFonts w:hint="default" w:ascii="Times New Roman" w:hAnsi="Times New Roman" w:cs="Times New Roman"/>
                <w:sz w:val="18"/>
                <w:szCs w:val="18"/>
              </w:rPr>
            </w:pPr>
          </w:p>
        </w:tc>
        <w:tc>
          <w:tcPr>
            <w:tcW w:w="699" w:type="dxa"/>
            <w:gridSpan w:val="2"/>
            <w:vMerge w:val="continue"/>
            <w:vAlign w:val="center"/>
          </w:tcPr>
          <w:p>
            <w:pPr>
              <w:jc w:val="center"/>
              <w:rPr>
                <w:rFonts w:hint="default" w:ascii="Times New Roman" w:hAnsi="Times New Roman" w:cs="Times New Roman"/>
                <w:sz w:val="18"/>
                <w:szCs w:val="18"/>
              </w:rPr>
            </w:pPr>
          </w:p>
        </w:tc>
        <w:tc>
          <w:tcPr>
            <w:tcW w:w="949" w:type="dxa"/>
            <w:gridSpan w:val="2"/>
            <w:vAlign w:val="center"/>
          </w:tcPr>
          <w:p>
            <w:pPr>
              <w:jc w:val="center"/>
              <w:rPr>
                <w:rFonts w:hint="default" w:ascii="Times New Roman" w:hAnsi="Times New Roman" w:cs="Times New Roman"/>
                <w:sz w:val="18"/>
                <w:szCs w:val="18"/>
              </w:rPr>
            </w:pPr>
          </w:p>
        </w:tc>
        <w:tc>
          <w:tcPr>
            <w:tcW w:w="782" w:type="dxa"/>
            <w:gridSpan w:val="2"/>
            <w:vAlign w:val="center"/>
          </w:tcPr>
          <w:p>
            <w:pPr>
              <w:jc w:val="center"/>
              <w:rPr>
                <w:rFonts w:hint="default" w:ascii="Times New Roman" w:hAnsi="Times New Roman" w:cs="Times New Roman"/>
                <w:sz w:val="18"/>
                <w:szCs w:val="18"/>
              </w:rPr>
            </w:pPr>
          </w:p>
        </w:tc>
        <w:tc>
          <w:tcPr>
            <w:tcW w:w="1151" w:type="dxa"/>
            <w:gridSpan w:val="3"/>
            <w:vAlign w:val="center"/>
          </w:tcPr>
          <w:p>
            <w:pPr>
              <w:jc w:val="center"/>
              <w:rPr>
                <w:rFonts w:hint="default" w:ascii="Times New Roman" w:hAnsi="Times New Roman" w:cs="Times New Roman"/>
                <w:sz w:val="18"/>
                <w:szCs w:val="18"/>
              </w:rPr>
            </w:pPr>
          </w:p>
        </w:tc>
        <w:tc>
          <w:tcPr>
            <w:tcW w:w="1170" w:type="dxa"/>
            <w:gridSpan w:val="2"/>
            <w:vAlign w:val="center"/>
          </w:tcPr>
          <w:p>
            <w:pPr>
              <w:jc w:val="center"/>
              <w:rPr>
                <w:rFonts w:hint="default" w:ascii="Times New Roman" w:hAnsi="Times New Roman" w:cs="Times New Roman"/>
                <w:sz w:val="18"/>
                <w:szCs w:val="18"/>
              </w:rPr>
            </w:pPr>
          </w:p>
        </w:tc>
        <w:tc>
          <w:tcPr>
            <w:tcW w:w="1020" w:type="dxa"/>
            <w:gridSpan w:val="3"/>
            <w:vAlign w:val="center"/>
          </w:tcPr>
          <w:p>
            <w:pPr>
              <w:jc w:val="center"/>
              <w:rPr>
                <w:rFonts w:hint="default" w:ascii="Times New Roman" w:hAnsi="Times New Roman" w:cs="Times New Roman"/>
                <w:sz w:val="18"/>
                <w:szCs w:val="18"/>
              </w:rPr>
            </w:pPr>
          </w:p>
        </w:tc>
        <w:tc>
          <w:tcPr>
            <w:tcW w:w="1235" w:type="dxa"/>
            <w:gridSpan w:val="2"/>
            <w:vAlign w:val="center"/>
          </w:tcPr>
          <w:p>
            <w:pPr>
              <w:jc w:val="center"/>
              <w:rPr>
                <w:rFonts w:hint="default" w:ascii="Times New Roman" w:hAnsi="Times New Roman" w:cs="Times New Roman"/>
                <w:sz w:val="18"/>
                <w:szCs w:val="18"/>
              </w:rPr>
            </w:pPr>
          </w:p>
        </w:tc>
        <w:tc>
          <w:tcPr>
            <w:tcW w:w="1096" w:type="dxa"/>
            <w:gridSpan w:val="3"/>
            <w:vAlign w:val="center"/>
          </w:tcPr>
          <w:p>
            <w:pPr>
              <w:jc w:val="center"/>
              <w:rPr>
                <w:rFonts w:hint="default" w:ascii="Times New Roman" w:hAnsi="Times New Roman" w:cs="Times New Roman"/>
                <w:sz w:val="18"/>
                <w:szCs w:val="18"/>
              </w:rPr>
            </w:pPr>
          </w:p>
        </w:tc>
        <w:tc>
          <w:tcPr>
            <w:tcW w:w="1171" w:type="dxa"/>
            <w:gridSpan w:val="2"/>
            <w:vAlign w:val="center"/>
          </w:tcPr>
          <w:p>
            <w:pPr>
              <w:jc w:val="center"/>
              <w:rPr>
                <w:rFonts w:hint="default" w:ascii="Times New Roman" w:hAnsi="Times New Roman" w:cs="Times New Roman"/>
                <w:sz w:val="18"/>
                <w:szCs w:val="18"/>
              </w:rPr>
            </w:pPr>
          </w:p>
        </w:tc>
        <w:tc>
          <w:tcPr>
            <w:tcW w:w="1274" w:type="dxa"/>
            <w:gridSpan w:val="2"/>
            <w:vAlign w:val="center"/>
          </w:tcPr>
          <w:p>
            <w:pPr>
              <w:jc w:val="center"/>
              <w:rPr>
                <w:rFonts w:hint="default" w:ascii="Times New Roman" w:hAnsi="Times New Roman" w:cs="Times New Roman"/>
              </w:rPr>
            </w:pPr>
          </w:p>
        </w:tc>
        <w:tc>
          <w:tcPr>
            <w:tcW w:w="1050" w:type="dxa"/>
            <w:vAlign w:val="center"/>
          </w:tcPr>
          <w:p>
            <w:pPr>
              <w:jc w:val="center"/>
              <w:rPr>
                <w:rFonts w:hint="default" w:ascii="Times New Roman" w:hAnsi="Times New Roman" w:cs="Times New Roman"/>
              </w:rPr>
            </w:pPr>
          </w:p>
        </w:tc>
        <w:tc>
          <w:tcPr>
            <w:tcW w:w="1123" w:type="dxa"/>
            <w:gridSpan w:val="3"/>
            <w:vAlign w:val="center"/>
          </w:tcPr>
          <w:p>
            <w:pPr>
              <w:jc w:val="center"/>
              <w:rPr>
                <w:rFonts w:hint="default" w:ascii="Times New Roman" w:hAnsi="Times New Roman" w:cs="Times New Roman"/>
              </w:rPr>
            </w:pPr>
          </w:p>
        </w:tc>
        <w:tc>
          <w:tcPr>
            <w:tcW w:w="1194" w:type="dxa"/>
            <w:gridSpan w:val="2"/>
            <w:vAlign w:val="center"/>
          </w:tcPr>
          <w:p>
            <w:pPr>
              <w:jc w:val="center"/>
              <w:rPr>
                <w:rFonts w:hint="default" w:ascii="Times New Roman" w:hAnsi="Times New Roman" w:cs="Times New Roman"/>
              </w:rPr>
            </w:pPr>
          </w:p>
        </w:tc>
        <w:tc>
          <w:tcPr>
            <w:tcW w:w="1052" w:type="dxa"/>
            <w:gridSpan w:val="2"/>
            <w:vAlign w:val="center"/>
          </w:tcPr>
          <w:p>
            <w:pPr>
              <w:jc w:val="center"/>
              <w:rPr>
                <w:rFonts w:hint="default" w:ascii="Times New Roman" w:hAnsi="Times New Roman" w:cs="Times New Roman"/>
                <w:sz w:val="18"/>
                <w:szCs w:val="18"/>
              </w:rPr>
            </w:pPr>
          </w:p>
        </w:tc>
      </w:tr>
    </w:tbl>
    <w:p>
      <w:pPr>
        <w:rPr>
          <w:rFonts w:hint="default" w:ascii="Times New Roman" w:hAnsi="Times New Roman" w:cs="Times New Roman"/>
        </w:rPr>
      </w:pPr>
      <w:r>
        <w:rPr>
          <w:rFonts w:hint="default" w:ascii="Times New Roman" w:hAnsi="Times New Roman" w:cs="Times New Roman"/>
          <w:sz w:val="18"/>
          <w:szCs w:val="18"/>
        </w:rPr>
        <w:t>注：1</w:t>
      </w:r>
      <w:r>
        <w:rPr>
          <w:rFonts w:hint="default" w:ascii="Times New Roman" w:hAnsi="Times New Roman" w:cs="Times New Roman"/>
          <w:spacing w:val="-40"/>
          <w:sz w:val="18"/>
          <w:szCs w:val="18"/>
        </w:rPr>
        <w:t>、</w:t>
      </w:r>
      <w:r>
        <w:rPr>
          <w:rFonts w:hint="default" w:ascii="Times New Roman" w:hAnsi="Times New Roman" w:cs="Times New Roman"/>
          <w:sz w:val="18"/>
          <w:szCs w:val="18"/>
        </w:rPr>
        <w:t>排放增减量</w:t>
      </w:r>
      <w:r>
        <w:rPr>
          <w:rFonts w:hint="default" w:ascii="Times New Roman" w:hAnsi="Times New Roman" w:cs="Times New Roman"/>
          <w:spacing w:val="-40"/>
          <w:sz w:val="18"/>
          <w:szCs w:val="18"/>
        </w:rPr>
        <w:t>：</w:t>
      </w:r>
      <w:r>
        <w:rPr>
          <w:rFonts w:hint="default" w:ascii="Times New Roman" w:hAnsi="Times New Roman" w:cs="Times New Roman"/>
          <w:sz w:val="18"/>
          <w:szCs w:val="18"/>
        </w:rPr>
        <w:t>(+)表示增加</w:t>
      </w:r>
      <w:r>
        <w:rPr>
          <w:rFonts w:hint="default" w:ascii="Times New Roman" w:hAnsi="Times New Roman" w:cs="Times New Roman"/>
          <w:spacing w:val="-40"/>
          <w:sz w:val="18"/>
          <w:szCs w:val="18"/>
        </w:rPr>
        <w:t>，</w:t>
      </w:r>
      <w:r>
        <w:rPr>
          <w:rFonts w:hint="default" w:ascii="Times New Roman" w:hAnsi="Times New Roman" w:cs="Times New Roman"/>
          <w:sz w:val="18"/>
          <w:szCs w:val="18"/>
        </w:rPr>
        <w:t>(-)表示减少；2</w:t>
      </w:r>
      <w:r>
        <w:rPr>
          <w:rFonts w:hint="default" w:ascii="Times New Roman" w:hAnsi="Times New Roman" w:cs="Times New Roman"/>
          <w:spacing w:val="-40"/>
          <w:sz w:val="18"/>
          <w:szCs w:val="18"/>
        </w:rPr>
        <w:t>、</w:t>
      </w:r>
      <w:r>
        <w:rPr>
          <w:rFonts w:hint="default" w:ascii="Times New Roman" w:hAnsi="Times New Roman" w:cs="Times New Roman"/>
          <w:sz w:val="18"/>
          <w:szCs w:val="18"/>
        </w:rPr>
        <w:t>(12)=(6)-(8)-(11)</w:t>
      </w:r>
      <w:r>
        <w:rPr>
          <w:rFonts w:hint="default" w:ascii="Times New Roman" w:hAnsi="Times New Roman" w:cs="Times New Roman"/>
          <w:spacing w:val="-40"/>
          <w:sz w:val="18"/>
          <w:szCs w:val="18"/>
        </w:rPr>
        <w:t>，</w:t>
      </w:r>
      <w:r>
        <w:rPr>
          <w:rFonts w:hint="default" w:ascii="Times New Roman" w:hAnsi="Times New Roman" w:cs="Times New Roman"/>
          <w:sz w:val="18"/>
          <w:szCs w:val="18"/>
        </w:rPr>
        <w:t>(9)=(4)-(5)-(8)-(11)+(1)；3</w:t>
      </w:r>
      <w:r>
        <w:rPr>
          <w:rFonts w:hint="default" w:ascii="Times New Roman" w:hAnsi="Times New Roman" w:cs="Times New Roman"/>
          <w:spacing w:val="-40"/>
          <w:sz w:val="18"/>
          <w:szCs w:val="18"/>
        </w:rPr>
        <w:t>、</w:t>
      </w:r>
      <w:r>
        <w:rPr>
          <w:rFonts w:hint="default" w:ascii="Times New Roman" w:hAnsi="Times New Roman" w:cs="Times New Roman"/>
          <w:sz w:val="18"/>
          <w:szCs w:val="18"/>
        </w:rPr>
        <w:t>计量单位</w:t>
      </w:r>
      <w:r>
        <w:rPr>
          <w:rFonts w:hint="default" w:ascii="Times New Roman" w:hAnsi="Times New Roman" w:cs="Times New Roman"/>
          <w:spacing w:val="-40"/>
          <w:sz w:val="18"/>
          <w:szCs w:val="18"/>
        </w:rPr>
        <w:t>：</w:t>
      </w:r>
      <w:r>
        <w:rPr>
          <w:rFonts w:hint="default" w:ascii="Times New Roman" w:hAnsi="Times New Roman" w:cs="Times New Roman"/>
          <w:sz w:val="18"/>
          <w:szCs w:val="18"/>
        </w:rPr>
        <w:t>废水排放量—万吨/年</w:t>
      </w:r>
      <w:r>
        <w:rPr>
          <w:rFonts w:hint="default" w:ascii="Times New Roman" w:hAnsi="Times New Roman" w:cs="Times New Roman"/>
          <w:spacing w:val="-40"/>
          <w:sz w:val="18"/>
          <w:szCs w:val="18"/>
        </w:rPr>
        <w:t>；</w:t>
      </w:r>
      <w:r>
        <w:rPr>
          <w:rFonts w:hint="default" w:ascii="Times New Roman" w:hAnsi="Times New Roman" w:cs="Times New Roman"/>
          <w:sz w:val="18"/>
          <w:szCs w:val="18"/>
        </w:rPr>
        <w:t>废气排放量—万标立方米/年</w:t>
      </w:r>
      <w:r>
        <w:rPr>
          <w:rFonts w:hint="default" w:ascii="Times New Roman" w:hAnsi="Times New Roman" w:cs="Times New Roman"/>
          <w:spacing w:val="-40"/>
          <w:sz w:val="18"/>
          <w:szCs w:val="18"/>
        </w:rPr>
        <w:t>；</w:t>
      </w:r>
      <w:r>
        <w:rPr>
          <w:rFonts w:hint="default" w:ascii="Times New Roman" w:hAnsi="Times New Roman" w:cs="Times New Roman"/>
          <w:sz w:val="18"/>
          <w:szCs w:val="18"/>
        </w:rPr>
        <w:t>水污染物排放浓度—毫克/升</w:t>
      </w:r>
      <w:r>
        <w:rPr>
          <w:rFonts w:hint="default" w:ascii="Times New Roman" w:hAnsi="Times New Roman" w:cs="Times New Roman"/>
          <w:spacing w:val="-40"/>
          <w:sz w:val="18"/>
          <w:szCs w:val="18"/>
        </w:rPr>
        <w:t>；</w:t>
      </w:r>
      <w:r>
        <w:rPr>
          <w:rFonts w:hint="default" w:ascii="Times New Roman" w:hAnsi="Times New Roman" w:cs="Times New Roman"/>
          <w:sz w:val="18"/>
          <w:szCs w:val="18"/>
        </w:rPr>
        <w:t>大气污染物排放浓度—毫克/立方米</w:t>
      </w:r>
      <w:r>
        <w:rPr>
          <w:rFonts w:hint="default" w:ascii="Times New Roman" w:hAnsi="Times New Roman" w:cs="Times New Roman"/>
          <w:spacing w:val="-40"/>
          <w:sz w:val="18"/>
          <w:szCs w:val="18"/>
        </w:rPr>
        <w:t>；</w:t>
      </w:r>
      <w:r>
        <w:rPr>
          <w:rFonts w:hint="default" w:ascii="Times New Roman" w:hAnsi="Times New Roman" w:cs="Times New Roman"/>
          <w:sz w:val="18"/>
          <w:szCs w:val="18"/>
        </w:rPr>
        <w:t>水污染物排放量—吨/年</w:t>
      </w:r>
      <w:r>
        <w:rPr>
          <w:rFonts w:hint="default" w:ascii="Times New Roman" w:hAnsi="Times New Roman" w:cs="Times New Roman"/>
          <w:spacing w:val="-40"/>
          <w:sz w:val="18"/>
          <w:szCs w:val="18"/>
        </w:rPr>
        <w:t>；</w:t>
      </w:r>
      <w:r>
        <w:rPr>
          <w:rFonts w:hint="default" w:ascii="Times New Roman" w:hAnsi="Times New Roman" w:cs="Times New Roman"/>
          <w:sz w:val="18"/>
          <w:szCs w:val="18"/>
        </w:rPr>
        <w:t>大气污染物排放量—吨/年</w:t>
      </w:r>
      <w:r>
        <w:rPr>
          <w:rFonts w:hint="default" w:ascii="Times New Roman" w:hAnsi="Times New Roman" w:cs="Times New Roman"/>
        </w:rPr>
        <w:t>。</w:t>
      </w:r>
    </w:p>
    <w:sectPr>
      <w:headerReference r:id="rId14" w:type="default"/>
      <w:footerReference r:id="rId15" w:type="default"/>
      <w:pgSz w:w="16840" w:h="11907" w:orient="landscape"/>
      <w:pgMar w:top="1134" w:right="1134" w:bottom="851" w:left="1134" w:header="851" w:footer="567" w:gutter="0"/>
      <w:cols w:space="720" w:num="1"/>
      <w:docGrid w:linePitch="2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经典行楷简">
    <w:altName w:val="宋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rPr>
      <w:t>1</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2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a:effectLst/>
                    </wps:spPr>
                    <wps:txbx>
                      <w:txbxContent>
                        <w:p>
                          <w:pPr>
                            <w:pStyle w:val="25"/>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W74rrSAAAABQEAAA8AAAAAAAAAAQAg&#10;AAAAIgAAAGRycy9kb3ducmV2LnhtbFBLAQIUABQAAAAIAIdO4kBjuoDY2wEAALUDAAAOAAAAAAAA&#10;AAEAIAAAACEBAABkcnMvZTJvRG9jLnhtbFBLBQYAAAAABgAGAFkBAABuBQ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rPr>
      <w:t>温州新鸿检测技术有限公司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a:effectLst/>
                    </wps:spPr>
                    <wps:txbx>
                      <w:txbxContent>
                        <w:p>
                          <w:pPr>
                            <w:pStyle w:val="25"/>
                          </w:pPr>
                          <w:r>
                            <w:fldChar w:fldCharType="begin"/>
                          </w:r>
                          <w:r>
                            <w:instrText xml:space="preserve"> PAGE  \* MERGEFORMAT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Fu+K60gAAAAUBAAAPAAAAAAAAAAEAIAAA&#10;ACIAAABkcnMvZG93bnJldi54bWxQSwECFAAUAAAACACHTuJAIbeDv9kBAAC0AwAADgAAAAAAAAAB&#10;ACAAAAAhAQAAZHJzL2Uyb0RvYy54bWxQSwUGAAAAAAYABgBZAQAAbAU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rPr>
      <w:t>温州新鸿检测技术有限公司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7952"/>
      </w:tabs>
      <w:ind w:right="360"/>
      <w:jc w:val="both"/>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30" name="文本框 6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175">
                        <a:noFill/>
                      </a:ln>
                      <a:effectLst/>
                    </wps:spPr>
                    <wps:txbx>
                      <w:txbxContent>
                        <w:p>
                          <w:pPr>
                            <w:pStyle w:val="25"/>
                          </w:pPr>
                          <w:r>
                            <w:fldChar w:fldCharType="begin"/>
                          </w:r>
                          <w:r>
                            <w:instrText xml:space="preserve"> PAGE  \* MERGEFORMAT </w:instrText>
                          </w:r>
                          <w:r>
                            <w:fldChar w:fldCharType="separate"/>
                          </w:r>
                          <w:r>
                            <w:t>92</w:t>
                          </w:r>
                          <w:r>
                            <w:fldChar w:fldCharType="end"/>
                          </w:r>
                        </w:p>
                      </w:txbxContent>
                    </wps:txbx>
                    <wps:bodyPr wrap="none" lIns="0" tIns="0" rIns="0" bIns="0" upright="1">
                      <a:spAutoFit/>
                    </wps:bodyPr>
                  </wps:wsp>
                </a:graphicData>
              </a:graphic>
            </wp:anchor>
          </w:drawing>
        </mc:Choice>
        <mc:Fallback>
          <w:pict>
            <v:shape id="文本框 688"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bviutIAAAAFAQAADwAAAAAAAAABACAA&#10;AAAiAAAAZHJzL2Rvd25yZXYueG1sUEsBAhQAFAAAAAgAh07iQHyMh/vaAQAAtAMAAA4AAAAAAAAA&#10;AQAgAAAAIQEAAGRycy9lMm9Eb2MueG1sUEsFBgAAAAAGAAYAWQEAAG0FAAAAAA==&#10;">
              <v:fill on="f" focussize="0,0"/>
              <v:stroke on="f" weight="0.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92</w:t>
                    </w:r>
                    <w:r>
                      <w:fldChar w:fldCharType="end"/>
                    </w:r>
                  </w:p>
                </w:txbxContent>
              </v:textbox>
            </v:shape>
          </w:pict>
        </mc:Fallback>
      </mc:AlternateContent>
    </w:r>
    <w:r>
      <w:rPr>
        <w:rStyle w:val="42"/>
      </w:rPr>
      <w:tab/>
    </w:r>
    <w:r>
      <w:rPr>
        <w:rStyle w:val="42"/>
      </w:rPr>
      <w:tab/>
    </w:r>
    <w:r>
      <w:rPr>
        <w:rStyle w:val="42"/>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rFonts w:hint="default" w:ascii="宋体" w:hAnsi="宋体"/>
        <w:lang w:val="en-US" w:eastAsia="zh-CN"/>
      </w:rPr>
      <w:t>平阳县万鹏表面处理有限公司年产6000吨五金件产品项目</w:t>
    </w:r>
    <w:r>
      <w:rPr>
        <w:rFonts w:hint="eastAsia" w:ascii="宋体" w:hAnsi="宋体"/>
        <w:lang w:val="en-US" w:eastAsia="zh-CN"/>
      </w:rPr>
      <w:t>阶段性及</w:t>
    </w:r>
    <w:r>
      <w:rPr>
        <w:rFonts w:hint="default" w:ascii="宋体" w:hAnsi="宋体"/>
        <w:lang w:val="en-US" w:eastAsia="zh-CN"/>
      </w:rPr>
      <w:t>迁建整合提升项目</w:t>
    </w:r>
    <w:r>
      <w:rPr>
        <w:rFonts w:hint="eastAsia" w:ascii="宋体" w:hAnsi="宋体"/>
        <w:lang w:val="en-US" w:eastAsia="zh-CN"/>
      </w:rPr>
      <w:t>（2F自动喷漆车间）</w:t>
    </w:r>
    <w:r>
      <w:rPr>
        <w:rFonts w:hint="eastAsia" w:ascii="宋体" w:hAnsi="宋体"/>
      </w:rPr>
      <w:t>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0"/>
      </w:pBdr>
      <w:rPr>
        <w:rFonts w:ascii="宋体" w:hAnsi="宋体"/>
      </w:rPr>
    </w:pPr>
    <w:r>
      <w:rPr>
        <w:rFonts w:hint="default" w:ascii="宋体" w:hAnsi="宋体"/>
        <w:lang w:val="en-US" w:eastAsia="zh-CN"/>
      </w:rPr>
      <w:t>平阳县万鹏表面处理有限公司年产6000吨五金件产品项目</w:t>
    </w:r>
    <w:r>
      <w:rPr>
        <w:rFonts w:hint="eastAsia" w:ascii="宋体" w:hAnsi="宋体"/>
        <w:lang w:val="en-US" w:eastAsia="zh-CN"/>
      </w:rPr>
      <w:t>阶段性及</w:t>
    </w:r>
    <w:r>
      <w:rPr>
        <w:rFonts w:hint="default" w:ascii="宋体" w:hAnsi="宋体"/>
        <w:lang w:val="en-US" w:eastAsia="zh-CN"/>
      </w:rPr>
      <w:t>迁建整合提升项目</w:t>
    </w:r>
    <w:r>
      <w:rPr>
        <w:rFonts w:hint="eastAsia" w:ascii="宋体" w:hAnsi="宋体"/>
        <w:lang w:val="en-US" w:eastAsia="zh-CN"/>
      </w:rPr>
      <w:t>（2F自动喷漆车间）</w:t>
    </w:r>
    <w:r>
      <w:rPr>
        <w:rFonts w:hint="eastAsia" w:ascii="宋体" w:hAnsi="宋体"/>
      </w:rPr>
      <w:t>竣工环境保护验收监测报告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180" w:firstLineChars="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r>
      <w:rPr>
        <w:rFonts w:hint="eastAsia" w:eastAsia="黑体"/>
        <w:b/>
        <w:bCs/>
        <w:sz w:val="28"/>
        <w:szCs w:val="28"/>
      </w:rPr>
      <w:t>建设项目竣工环境保护“三同时”验收登记表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5151"/>
    <w:multiLevelType w:val="multilevel"/>
    <w:tmpl w:val="152F5151"/>
    <w:lvl w:ilvl="0" w:tentative="0">
      <w:start w:val="1"/>
      <w:numFmt w:val="chineseCountingThousand"/>
      <w:pStyle w:val="91"/>
      <w:suff w:val="nothing"/>
      <w:lvlText w:val="第%1章  "/>
      <w:lvlJc w:val="center"/>
      <w:pPr>
        <w:ind w:left="3360" w:firstLine="0"/>
      </w:pPr>
      <w:rPr>
        <w:rFonts w:hint="eastAsia"/>
      </w:rPr>
    </w:lvl>
    <w:lvl w:ilvl="1" w:tentative="0">
      <w:start w:val="1"/>
      <w:numFmt w:val="chineseCountingThousand"/>
      <w:pStyle w:val="79"/>
      <w:lvlText w:val="%2、"/>
      <w:lvlJc w:val="left"/>
      <w:pPr>
        <w:tabs>
          <w:tab w:val="left" w:pos="1035"/>
        </w:tabs>
        <w:ind w:left="315" w:firstLine="0"/>
      </w:pPr>
      <w:rPr>
        <w:rFonts w:hint="eastAsia"/>
      </w:rPr>
    </w:lvl>
    <w:lvl w:ilvl="2" w:tentative="0">
      <w:start w:val="1"/>
      <w:numFmt w:val="decimal"/>
      <w:suff w:val="space"/>
      <w:lvlText w:val="%3、"/>
      <w:lvlJc w:val="left"/>
      <w:pPr>
        <w:ind w:left="435" w:firstLine="227"/>
      </w:pPr>
      <w:rPr>
        <w:rFonts w:hint="eastAsia"/>
      </w:rPr>
    </w:lvl>
    <w:lvl w:ilvl="3" w:tentative="0">
      <w:start w:val="1"/>
      <w:numFmt w:val="decimal"/>
      <w:suff w:val="space"/>
      <w:lvlText w:val="%3.%4"/>
      <w:lvlJc w:val="left"/>
      <w:pPr>
        <w:ind w:left="0" w:firstLine="454"/>
      </w:pPr>
      <w:rPr>
        <w:rFonts w:hint="eastAsia"/>
      </w:rPr>
    </w:lvl>
    <w:lvl w:ilvl="4" w:tentative="0">
      <w:start w:val="1"/>
      <w:numFmt w:val="decimal"/>
      <w:lvlText w:val="(%5)"/>
      <w:lvlJc w:val="left"/>
      <w:pPr>
        <w:tabs>
          <w:tab w:val="left" w:pos="4122"/>
        </w:tabs>
        <w:ind w:left="3402" w:firstLine="0"/>
      </w:pPr>
      <w:rPr>
        <w:rFonts w:hint="eastAsia"/>
      </w:rPr>
    </w:lvl>
    <w:lvl w:ilvl="5" w:tentative="0">
      <w:start w:val="1"/>
      <w:numFmt w:val="lowerLetter"/>
      <w:lvlText w:val="(%6)"/>
      <w:lvlJc w:val="left"/>
      <w:pPr>
        <w:tabs>
          <w:tab w:val="left" w:pos="4972"/>
        </w:tabs>
        <w:ind w:left="4252" w:firstLine="0"/>
      </w:pPr>
      <w:rPr>
        <w:rFonts w:hint="eastAsia"/>
      </w:rPr>
    </w:lvl>
    <w:lvl w:ilvl="6" w:tentative="0">
      <w:start w:val="1"/>
      <w:numFmt w:val="lowerRoman"/>
      <w:lvlText w:val="(%7)"/>
      <w:lvlJc w:val="left"/>
      <w:pPr>
        <w:tabs>
          <w:tab w:val="left" w:pos="6182"/>
        </w:tabs>
        <w:ind w:left="5102" w:firstLine="0"/>
      </w:pPr>
      <w:rPr>
        <w:rFonts w:hint="eastAsia"/>
      </w:rPr>
    </w:lvl>
    <w:lvl w:ilvl="7" w:tentative="0">
      <w:start w:val="1"/>
      <w:numFmt w:val="lowerLetter"/>
      <w:lvlText w:val="(%8)"/>
      <w:lvlJc w:val="left"/>
      <w:pPr>
        <w:tabs>
          <w:tab w:val="left" w:pos="6673"/>
        </w:tabs>
        <w:ind w:left="5953" w:firstLine="0"/>
      </w:pPr>
      <w:rPr>
        <w:rFonts w:hint="eastAsia"/>
      </w:rPr>
    </w:lvl>
    <w:lvl w:ilvl="8" w:tentative="0">
      <w:start w:val="1"/>
      <w:numFmt w:val="decimal"/>
      <w:lvlText w:val="%9."/>
      <w:lvlJc w:val="left"/>
      <w:pPr>
        <w:tabs>
          <w:tab w:val="left" w:pos="814"/>
        </w:tabs>
        <w:ind w:left="0" w:firstLine="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2"/>
  <w:drawingGridVerticalSpacing w:val="2"/>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ED"/>
    <w:rsid w:val="00001EF2"/>
    <w:rsid w:val="00005333"/>
    <w:rsid w:val="0000657F"/>
    <w:rsid w:val="00007464"/>
    <w:rsid w:val="000111B2"/>
    <w:rsid w:val="00011A38"/>
    <w:rsid w:val="00012178"/>
    <w:rsid w:val="00012DB2"/>
    <w:rsid w:val="000133A5"/>
    <w:rsid w:val="00014C0C"/>
    <w:rsid w:val="00016006"/>
    <w:rsid w:val="00016975"/>
    <w:rsid w:val="00017AD7"/>
    <w:rsid w:val="0002150A"/>
    <w:rsid w:val="00021A0A"/>
    <w:rsid w:val="000235B6"/>
    <w:rsid w:val="00023B2B"/>
    <w:rsid w:val="0002487F"/>
    <w:rsid w:val="00025CEF"/>
    <w:rsid w:val="00030AA1"/>
    <w:rsid w:val="00031211"/>
    <w:rsid w:val="0003170A"/>
    <w:rsid w:val="00031CB2"/>
    <w:rsid w:val="00031F40"/>
    <w:rsid w:val="00033D34"/>
    <w:rsid w:val="00034E39"/>
    <w:rsid w:val="00035F81"/>
    <w:rsid w:val="000376CB"/>
    <w:rsid w:val="0004040C"/>
    <w:rsid w:val="00040FF7"/>
    <w:rsid w:val="00041DC4"/>
    <w:rsid w:val="00042725"/>
    <w:rsid w:val="00043012"/>
    <w:rsid w:val="00043AEC"/>
    <w:rsid w:val="00044F13"/>
    <w:rsid w:val="00046F96"/>
    <w:rsid w:val="00047FDE"/>
    <w:rsid w:val="000521E4"/>
    <w:rsid w:val="000531AA"/>
    <w:rsid w:val="00054FDE"/>
    <w:rsid w:val="00056931"/>
    <w:rsid w:val="00057A2D"/>
    <w:rsid w:val="00057B21"/>
    <w:rsid w:val="00057D96"/>
    <w:rsid w:val="00060233"/>
    <w:rsid w:val="00061BB4"/>
    <w:rsid w:val="00063971"/>
    <w:rsid w:val="000644E8"/>
    <w:rsid w:val="00064D77"/>
    <w:rsid w:val="00066726"/>
    <w:rsid w:val="00067269"/>
    <w:rsid w:val="00071990"/>
    <w:rsid w:val="00072CA9"/>
    <w:rsid w:val="00073379"/>
    <w:rsid w:val="000737A1"/>
    <w:rsid w:val="000753ED"/>
    <w:rsid w:val="0007583E"/>
    <w:rsid w:val="00075DF4"/>
    <w:rsid w:val="000767E7"/>
    <w:rsid w:val="000800B6"/>
    <w:rsid w:val="00080B0E"/>
    <w:rsid w:val="000810CE"/>
    <w:rsid w:val="000815B4"/>
    <w:rsid w:val="000826F4"/>
    <w:rsid w:val="00082D34"/>
    <w:rsid w:val="00082FDB"/>
    <w:rsid w:val="00085568"/>
    <w:rsid w:val="00085E17"/>
    <w:rsid w:val="0008761B"/>
    <w:rsid w:val="00087A0C"/>
    <w:rsid w:val="00087BC4"/>
    <w:rsid w:val="00090C66"/>
    <w:rsid w:val="00090E1D"/>
    <w:rsid w:val="00091334"/>
    <w:rsid w:val="00091ACE"/>
    <w:rsid w:val="00091E88"/>
    <w:rsid w:val="000921D6"/>
    <w:rsid w:val="00093745"/>
    <w:rsid w:val="00094963"/>
    <w:rsid w:val="00094FF7"/>
    <w:rsid w:val="000950CB"/>
    <w:rsid w:val="00095DEB"/>
    <w:rsid w:val="00096619"/>
    <w:rsid w:val="00097DDE"/>
    <w:rsid w:val="000A27B7"/>
    <w:rsid w:val="000A3AA7"/>
    <w:rsid w:val="000A3E77"/>
    <w:rsid w:val="000A40C5"/>
    <w:rsid w:val="000A4E15"/>
    <w:rsid w:val="000A6B07"/>
    <w:rsid w:val="000A707B"/>
    <w:rsid w:val="000A7E6C"/>
    <w:rsid w:val="000B05A4"/>
    <w:rsid w:val="000B1341"/>
    <w:rsid w:val="000B211C"/>
    <w:rsid w:val="000B2A9F"/>
    <w:rsid w:val="000B3491"/>
    <w:rsid w:val="000B40A6"/>
    <w:rsid w:val="000B5131"/>
    <w:rsid w:val="000B6599"/>
    <w:rsid w:val="000C053B"/>
    <w:rsid w:val="000C0B73"/>
    <w:rsid w:val="000C1447"/>
    <w:rsid w:val="000C3519"/>
    <w:rsid w:val="000C3E7C"/>
    <w:rsid w:val="000C40A1"/>
    <w:rsid w:val="000C5238"/>
    <w:rsid w:val="000C5EA0"/>
    <w:rsid w:val="000C723E"/>
    <w:rsid w:val="000C7ED6"/>
    <w:rsid w:val="000C7F3C"/>
    <w:rsid w:val="000D0804"/>
    <w:rsid w:val="000D3150"/>
    <w:rsid w:val="000D4955"/>
    <w:rsid w:val="000D4CB9"/>
    <w:rsid w:val="000D5113"/>
    <w:rsid w:val="000D5628"/>
    <w:rsid w:val="000D59B7"/>
    <w:rsid w:val="000D69E9"/>
    <w:rsid w:val="000D744E"/>
    <w:rsid w:val="000E24A9"/>
    <w:rsid w:val="000E28AD"/>
    <w:rsid w:val="000E3E50"/>
    <w:rsid w:val="000E4301"/>
    <w:rsid w:val="000E4370"/>
    <w:rsid w:val="000E43F7"/>
    <w:rsid w:val="000E47F1"/>
    <w:rsid w:val="000E5ACE"/>
    <w:rsid w:val="000E6A75"/>
    <w:rsid w:val="000E7364"/>
    <w:rsid w:val="000E75C5"/>
    <w:rsid w:val="000E7DD8"/>
    <w:rsid w:val="000F189D"/>
    <w:rsid w:val="000F328A"/>
    <w:rsid w:val="000F342A"/>
    <w:rsid w:val="000F483A"/>
    <w:rsid w:val="000F671F"/>
    <w:rsid w:val="000F7F77"/>
    <w:rsid w:val="001012A7"/>
    <w:rsid w:val="001017A7"/>
    <w:rsid w:val="00101B66"/>
    <w:rsid w:val="00102B9C"/>
    <w:rsid w:val="00103E82"/>
    <w:rsid w:val="00104A41"/>
    <w:rsid w:val="001068D6"/>
    <w:rsid w:val="001071B0"/>
    <w:rsid w:val="00110663"/>
    <w:rsid w:val="00110B1E"/>
    <w:rsid w:val="0011294E"/>
    <w:rsid w:val="00112D27"/>
    <w:rsid w:val="001134D9"/>
    <w:rsid w:val="0011575B"/>
    <w:rsid w:val="00116420"/>
    <w:rsid w:val="0011665C"/>
    <w:rsid w:val="00117116"/>
    <w:rsid w:val="00117C2B"/>
    <w:rsid w:val="0012015A"/>
    <w:rsid w:val="0012019C"/>
    <w:rsid w:val="001231A6"/>
    <w:rsid w:val="0012465C"/>
    <w:rsid w:val="0012519A"/>
    <w:rsid w:val="0012567B"/>
    <w:rsid w:val="00125B9F"/>
    <w:rsid w:val="00126154"/>
    <w:rsid w:val="0012702C"/>
    <w:rsid w:val="00127907"/>
    <w:rsid w:val="00130D4A"/>
    <w:rsid w:val="00134052"/>
    <w:rsid w:val="001350CA"/>
    <w:rsid w:val="00135B2E"/>
    <w:rsid w:val="001365D1"/>
    <w:rsid w:val="00137195"/>
    <w:rsid w:val="0013769C"/>
    <w:rsid w:val="00140C46"/>
    <w:rsid w:val="001411E7"/>
    <w:rsid w:val="00141E87"/>
    <w:rsid w:val="00143A9D"/>
    <w:rsid w:val="00144854"/>
    <w:rsid w:val="001451BD"/>
    <w:rsid w:val="0014637D"/>
    <w:rsid w:val="00146AAE"/>
    <w:rsid w:val="00147421"/>
    <w:rsid w:val="00147E88"/>
    <w:rsid w:val="00150C44"/>
    <w:rsid w:val="00151BBF"/>
    <w:rsid w:val="00151E3D"/>
    <w:rsid w:val="00153745"/>
    <w:rsid w:val="00153C88"/>
    <w:rsid w:val="00154554"/>
    <w:rsid w:val="001545BA"/>
    <w:rsid w:val="00155907"/>
    <w:rsid w:val="00157ED7"/>
    <w:rsid w:val="00162613"/>
    <w:rsid w:val="001627FC"/>
    <w:rsid w:val="00163C2E"/>
    <w:rsid w:val="00163E6C"/>
    <w:rsid w:val="00164681"/>
    <w:rsid w:val="0016489B"/>
    <w:rsid w:val="00164AEF"/>
    <w:rsid w:val="00165AD1"/>
    <w:rsid w:val="0016733A"/>
    <w:rsid w:val="00172074"/>
    <w:rsid w:val="00172A27"/>
    <w:rsid w:val="00173ACD"/>
    <w:rsid w:val="001742DE"/>
    <w:rsid w:val="00174B41"/>
    <w:rsid w:val="00175188"/>
    <w:rsid w:val="00175CB7"/>
    <w:rsid w:val="00176656"/>
    <w:rsid w:val="00176FC3"/>
    <w:rsid w:val="001800E5"/>
    <w:rsid w:val="00183DF0"/>
    <w:rsid w:val="00185641"/>
    <w:rsid w:val="0018766E"/>
    <w:rsid w:val="00187A30"/>
    <w:rsid w:val="00187EFC"/>
    <w:rsid w:val="00190108"/>
    <w:rsid w:val="001903B1"/>
    <w:rsid w:val="00191AA8"/>
    <w:rsid w:val="00191EDC"/>
    <w:rsid w:val="0019377D"/>
    <w:rsid w:val="0019499A"/>
    <w:rsid w:val="00195B13"/>
    <w:rsid w:val="001962F3"/>
    <w:rsid w:val="001A04A6"/>
    <w:rsid w:val="001A0544"/>
    <w:rsid w:val="001A0EA2"/>
    <w:rsid w:val="001A47A0"/>
    <w:rsid w:val="001A5415"/>
    <w:rsid w:val="001A6F2A"/>
    <w:rsid w:val="001B06DC"/>
    <w:rsid w:val="001B08EB"/>
    <w:rsid w:val="001B0E5F"/>
    <w:rsid w:val="001B3F43"/>
    <w:rsid w:val="001B4AAF"/>
    <w:rsid w:val="001B5733"/>
    <w:rsid w:val="001B5946"/>
    <w:rsid w:val="001B72E4"/>
    <w:rsid w:val="001B759B"/>
    <w:rsid w:val="001B7819"/>
    <w:rsid w:val="001B79BB"/>
    <w:rsid w:val="001C0412"/>
    <w:rsid w:val="001C083A"/>
    <w:rsid w:val="001C313E"/>
    <w:rsid w:val="001C442C"/>
    <w:rsid w:val="001C5073"/>
    <w:rsid w:val="001D0BCC"/>
    <w:rsid w:val="001D12D9"/>
    <w:rsid w:val="001D2515"/>
    <w:rsid w:val="001D2723"/>
    <w:rsid w:val="001D3626"/>
    <w:rsid w:val="001D37E8"/>
    <w:rsid w:val="001D6B40"/>
    <w:rsid w:val="001E209A"/>
    <w:rsid w:val="001E2110"/>
    <w:rsid w:val="001E23D7"/>
    <w:rsid w:val="001E298F"/>
    <w:rsid w:val="001E4F1F"/>
    <w:rsid w:val="001E5323"/>
    <w:rsid w:val="001E5C8A"/>
    <w:rsid w:val="001E60F4"/>
    <w:rsid w:val="001F1096"/>
    <w:rsid w:val="001F10AC"/>
    <w:rsid w:val="001F14A7"/>
    <w:rsid w:val="001F2E76"/>
    <w:rsid w:val="001F3258"/>
    <w:rsid w:val="001F4484"/>
    <w:rsid w:val="001F44B9"/>
    <w:rsid w:val="001F5455"/>
    <w:rsid w:val="001F5C07"/>
    <w:rsid w:val="001F6F0B"/>
    <w:rsid w:val="00201B81"/>
    <w:rsid w:val="00203457"/>
    <w:rsid w:val="0020433F"/>
    <w:rsid w:val="0020448E"/>
    <w:rsid w:val="00204AEE"/>
    <w:rsid w:val="00205EC0"/>
    <w:rsid w:val="00205F30"/>
    <w:rsid w:val="002060D7"/>
    <w:rsid w:val="0020614D"/>
    <w:rsid w:val="002071CC"/>
    <w:rsid w:val="00210AC9"/>
    <w:rsid w:val="00211400"/>
    <w:rsid w:val="00211816"/>
    <w:rsid w:val="00213619"/>
    <w:rsid w:val="00213FEA"/>
    <w:rsid w:val="00215221"/>
    <w:rsid w:val="00215CAF"/>
    <w:rsid w:val="00217096"/>
    <w:rsid w:val="00217945"/>
    <w:rsid w:val="00217B42"/>
    <w:rsid w:val="00217F6E"/>
    <w:rsid w:val="002207A6"/>
    <w:rsid w:val="002215E2"/>
    <w:rsid w:val="00221E1E"/>
    <w:rsid w:val="00222A72"/>
    <w:rsid w:val="00222CA0"/>
    <w:rsid w:val="00223C00"/>
    <w:rsid w:val="00224A6D"/>
    <w:rsid w:val="0022569C"/>
    <w:rsid w:val="00226BD1"/>
    <w:rsid w:val="00226FAC"/>
    <w:rsid w:val="00227372"/>
    <w:rsid w:val="00232B65"/>
    <w:rsid w:val="00233DD8"/>
    <w:rsid w:val="00234622"/>
    <w:rsid w:val="00240A02"/>
    <w:rsid w:val="002410C5"/>
    <w:rsid w:val="002432FF"/>
    <w:rsid w:val="00244B87"/>
    <w:rsid w:val="002469EF"/>
    <w:rsid w:val="00246A80"/>
    <w:rsid w:val="00247C8C"/>
    <w:rsid w:val="00247CDA"/>
    <w:rsid w:val="002502D6"/>
    <w:rsid w:val="00251A40"/>
    <w:rsid w:val="00253995"/>
    <w:rsid w:val="00253A06"/>
    <w:rsid w:val="00254CF5"/>
    <w:rsid w:val="002551BB"/>
    <w:rsid w:val="002555A0"/>
    <w:rsid w:val="00256E98"/>
    <w:rsid w:val="0026180C"/>
    <w:rsid w:val="00263996"/>
    <w:rsid w:val="00263AE8"/>
    <w:rsid w:val="0026405E"/>
    <w:rsid w:val="00264F73"/>
    <w:rsid w:val="00265D4A"/>
    <w:rsid w:val="00266084"/>
    <w:rsid w:val="002668A6"/>
    <w:rsid w:val="00272877"/>
    <w:rsid w:val="0027301B"/>
    <w:rsid w:val="00275DA2"/>
    <w:rsid w:val="00276087"/>
    <w:rsid w:val="0027643D"/>
    <w:rsid w:val="00276B84"/>
    <w:rsid w:val="0028102B"/>
    <w:rsid w:val="00283FB1"/>
    <w:rsid w:val="002844DC"/>
    <w:rsid w:val="0029164A"/>
    <w:rsid w:val="00293484"/>
    <w:rsid w:val="002945EF"/>
    <w:rsid w:val="00295D04"/>
    <w:rsid w:val="00296227"/>
    <w:rsid w:val="0029731E"/>
    <w:rsid w:val="00297D3D"/>
    <w:rsid w:val="002A04AA"/>
    <w:rsid w:val="002A0885"/>
    <w:rsid w:val="002A0A4E"/>
    <w:rsid w:val="002A122F"/>
    <w:rsid w:val="002A1D48"/>
    <w:rsid w:val="002A480E"/>
    <w:rsid w:val="002A5009"/>
    <w:rsid w:val="002B07D0"/>
    <w:rsid w:val="002B121B"/>
    <w:rsid w:val="002B1889"/>
    <w:rsid w:val="002B2F31"/>
    <w:rsid w:val="002B347E"/>
    <w:rsid w:val="002B3558"/>
    <w:rsid w:val="002B3E76"/>
    <w:rsid w:val="002B5A4D"/>
    <w:rsid w:val="002B60AB"/>
    <w:rsid w:val="002C0CD7"/>
    <w:rsid w:val="002C1FC4"/>
    <w:rsid w:val="002C24D1"/>
    <w:rsid w:val="002C3CFE"/>
    <w:rsid w:val="002C4D67"/>
    <w:rsid w:val="002C60EB"/>
    <w:rsid w:val="002C6E42"/>
    <w:rsid w:val="002C7838"/>
    <w:rsid w:val="002D038E"/>
    <w:rsid w:val="002D0683"/>
    <w:rsid w:val="002D2D16"/>
    <w:rsid w:val="002D3460"/>
    <w:rsid w:val="002D47AB"/>
    <w:rsid w:val="002D6DFB"/>
    <w:rsid w:val="002D6F8D"/>
    <w:rsid w:val="002E0197"/>
    <w:rsid w:val="002E0512"/>
    <w:rsid w:val="002E1177"/>
    <w:rsid w:val="002E17CE"/>
    <w:rsid w:val="002E3512"/>
    <w:rsid w:val="002E3626"/>
    <w:rsid w:val="002E425F"/>
    <w:rsid w:val="002E56B7"/>
    <w:rsid w:val="002E5828"/>
    <w:rsid w:val="002F05C0"/>
    <w:rsid w:val="002F4D2B"/>
    <w:rsid w:val="002F5DDB"/>
    <w:rsid w:val="002F6022"/>
    <w:rsid w:val="002F605A"/>
    <w:rsid w:val="002F68B0"/>
    <w:rsid w:val="003004E1"/>
    <w:rsid w:val="00303E79"/>
    <w:rsid w:val="00303F34"/>
    <w:rsid w:val="00304F34"/>
    <w:rsid w:val="00307975"/>
    <w:rsid w:val="0031067A"/>
    <w:rsid w:val="003117FC"/>
    <w:rsid w:val="00311E56"/>
    <w:rsid w:val="00316E85"/>
    <w:rsid w:val="00320815"/>
    <w:rsid w:val="00320E33"/>
    <w:rsid w:val="00321221"/>
    <w:rsid w:val="00321E79"/>
    <w:rsid w:val="003225C8"/>
    <w:rsid w:val="00323175"/>
    <w:rsid w:val="00324905"/>
    <w:rsid w:val="00324B9E"/>
    <w:rsid w:val="00324D0B"/>
    <w:rsid w:val="00325847"/>
    <w:rsid w:val="00325B02"/>
    <w:rsid w:val="003266A8"/>
    <w:rsid w:val="00327AA2"/>
    <w:rsid w:val="003301D7"/>
    <w:rsid w:val="00330CFD"/>
    <w:rsid w:val="00330E33"/>
    <w:rsid w:val="00330EF6"/>
    <w:rsid w:val="00331568"/>
    <w:rsid w:val="00331A7B"/>
    <w:rsid w:val="00332006"/>
    <w:rsid w:val="003320D4"/>
    <w:rsid w:val="0033281E"/>
    <w:rsid w:val="00333F55"/>
    <w:rsid w:val="00337CDC"/>
    <w:rsid w:val="00340457"/>
    <w:rsid w:val="00343152"/>
    <w:rsid w:val="00344518"/>
    <w:rsid w:val="003449A7"/>
    <w:rsid w:val="00346FE7"/>
    <w:rsid w:val="00347BA0"/>
    <w:rsid w:val="003508FC"/>
    <w:rsid w:val="00350EEC"/>
    <w:rsid w:val="00351E3E"/>
    <w:rsid w:val="00352524"/>
    <w:rsid w:val="003538E3"/>
    <w:rsid w:val="00354F7A"/>
    <w:rsid w:val="0035569E"/>
    <w:rsid w:val="003564DB"/>
    <w:rsid w:val="00363609"/>
    <w:rsid w:val="00365CD8"/>
    <w:rsid w:val="00365F4D"/>
    <w:rsid w:val="00366B9F"/>
    <w:rsid w:val="003716A0"/>
    <w:rsid w:val="00372EB4"/>
    <w:rsid w:val="00373077"/>
    <w:rsid w:val="00374FD1"/>
    <w:rsid w:val="00377C7A"/>
    <w:rsid w:val="00380FA0"/>
    <w:rsid w:val="00381E8D"/>
    <w:rsid w:val="00382C3B"/>
    <w:rsid w:val="00383E7C"/>
    <w:rsid w:val="00384699"/>
    <w:rsid w:val="00384D52"/>
    <w:rsid w:val="003852E6"/>
    <w:rsid w:val="00385516"/>
    <w:rsid w:val="00385658"/>
    <w:rsid w:val="00386FCF"/>
    <w:rsid w:val="003877D6"/>
    <w:rsid w:val="00387B20"/>
    <w:rsid w:val="00390225"/>
    <w:rsid w:val="00390530"/>
    <w:rsid w:val="00390B7D"/>
    <w:rsid w:val="00390E98"/>
    <w:rsid w:val="00391615"/>
    <w:rsid w:val="0039345F"/>
    <w:rsid w:val="00397631"/>
    <w:rsid w:val="003A0FC6"/>
    <w:rsid w:val="003A0FF0"/>
    <w:rsid w:val="003A1682"/>
    <w:rsid w:val="003A30BB"/>
    <w:rsid w:val="003A354F"/>
    <w:rsid w:val="003A4070"/>
    <w:rsid w:val="003A47D4"/>
    <w:rsid w:val="003A6696"/>
    <w:rsid w:val="003A6CA6"/>
    <w:rsid w:val="003A6F1F"/>
    <w:rsid w:val="003A77B8"/>
    <w:rsid w:val="003A7EC2"/>
    <w:rsid w:val="003B093D"/>
    <w:rsid w:val="003B0E5F"/>
    <w:rsid w:val="003B1D25"/>
    <w:rsid w:val="003B4CFB"/>
    <w:rsid w:val="003B5D37"/>
    <w:rsid w:val="003B6058"/>
    <w:rsid w:val="003B6543"/>
    <w:rsid w:val="003B7341"/>
    <w:rsid w:val="003B78AF"/>
    <w:rsid w:val="003C0705"/>
    <w:rsid w:val="003C1CD3"/>
    <w:rsid w:val="003C3602"/>
    <w:rsid w:val="003C3881"/>
    <w:rsid w:val="003C3ED6"/>
    <w:rsid w:val="003C42CB"/>
    <w:rsid w:val="003C46CA"/>
    <w:rsid w:val="003C5A82"/>
    <w:rsid w:val="003C5F5B"/>
    <w:rsid w:val="003C724F"/>
    <w:rsid w:val="003C73FD"/>
    <w:rsid w:val="003D0E34"/>
    <w:rsid w:val="003D3745"/>
    <w:rsid w:val="003D44A4"/>
    <w:rsid w:val="003D60F5"/>
    <w:rsid w:val="003D622D"/>
    <w:rsid w:val="003D6658"/>
    <w:rsid w:val="003D7219"/>
    <w:rsid w:val="003D77DB"/>
    <w:rsid w:val="003E239C"/>
    <w:rsid w:val="003E2732"/>
    <w:rsid w:val="003E2F03"/>
    <w:rsid w:val="003E355A"/>
    <w:rsid w:val="003E3A2D"/>
    <w:rsid w:val="003E4E79"/>
    <w:rsid w:val="003E5021"/>
    <w:rsid w:val="003E781E"/>
    <w:rsid w:val="003E7BA6"/>
    <w:rsid w:val="003F17DB"/>
    <w:rsid w:val="003F196B"/>
    <w:rsid w:val="003F1B60"/>
    <w:rsid w:val="003F26F4"/>
    <w:rsid w:val="003F2F41"/>
    <w:rsid w:val="003F3EC4"/>
    <w:rsid w:val="003F4CDE"/>
    <w:rsid w:val="003F6A55"/>
    <w:rsid w:val="003F77CB"/>
    <w:rsid w:val="00400588"/>
    <w:rsid w:val="00400D82"/>
    <w:rsid w:val="004023EE"/>
    <w:rsid w:val="00402CBD"/>
    <w:rsid w:val="004032B8"/>
    <w:rsid w:val="0040389F"/>
    <w:rsid w:val="004038C7"/>
    <w:rsid w:val="0040422D"/>
    <w:rsid w:val="00404450"/>
    <w:rsid w:val="0040715E"/>
    <w:rsid w:val="00410F28"/>
    <w:rsid w:val="00412A48"/>
    <w:rsid w:val="0041403B"/>
    <w:rsid w:val="00415A66"/>
    <w:rsid w:val="004165C7"/>
    <w:rsid w:val="0041756A"/>
    <w:rsid w:val="00417B2E"/>
    <w:rsid w:val="00420499"/>
    <w:rsid w:val="004207AD"/>
    <w:rsid w:val="00421FF2"/>
    <w:rsid w:val="004222E5"/>
    <w:rsid w:val="0042235C"/>
    <w:rsid w:val="00424959"/>
    <w:rsid w:val="00424C89"/>
    <w:rsid w:val="004256E3"/>
    <w:rsid w:val="00426499"/>
    <w:rsid w:val="0042693C"/>
    <w:rsid w:val="00426D69"/>
    <w:rsid w:val="0042724E"/>
    <w:rsid w:val="00427C9E"/>
    <w:rsid w:val="00427FFC"/>
    <w:rsid w:val="004326CF"/>
    <w:rsid w:val="00434192"/>
    <w:rsid w:val="004348AC"/>
    <w:rsid w:val="0043505D"/>
    <w:rsid w:val="004443CD"/>
    <w:rsid w:val="004452A8"/>
    <w:rsid w:val="00445BF7"/>
    <w:rsid w:val="004461FB"/>
    <w:rsid w:val="004479AC"/>
    <w:rsid w:val="00450BDA"/>
    <w:rsid w:val="00454933"/>
    <w:rsid w:val="004556AB"/>
    <w:rsid w:val="004573D1"/>
    <w:rsid w:val="00457C65"/>
    <w:rsid w:val="00461180"/>
    <w:rsid w:val="004618A7"/>
    <w:rsid w:val="00464DAA"/>
    <w:rsid w:val="00466F65"/>
    <w:rsid w:val="00467A9E"/>
    <w:rsid w:val="00470282"/>
    <w:rsid w:val="004709AE"/>
    <w:rsid w:val="00470B51"/>
    <w:rsid w:val="00471928"/>
    <w:rsid w:val="00474476"/>
    <w:rsid w:val="00474CC7"/>
    <w:rsid w:val="00474E15"/>
    <w:rsid w:val="00475863"/>
    <w:rsid w:val="00475D86"/>
    <w:rsid w:val="004778CE"/>
    <w:rsid w:val="00477AA4"/>
    <w:rsid w:val="00477DDF"/>
    <w:rsid w:val="00481B6B"/>
    <w:rsid w:val="004828F5"/>
    <w:rsid w:val="00482EA4"/>
    <w:rsid w:val="004834D4"/>
    <w:rsid w:val="004842DB"/>
    <w:rsid w:val="0048569A"/>
    <w:rsid w:val="00486A71"/>
    <w:rsid w:val="00486AA8"/>
    <w:rsid w:val="00487443"/>
    <w:rsid w:val="00490950"/>
    <w:rsid w:val="0049264C"/>
    <w:rsid w:val="00492FA7"/>
    <w:rsid w:val="004949A8"/>
    <w:rsid w:val="00494D11"/>
    <w:rsid w:val="004958F7"/>
    <w:rsid w:val="004A001D"/>
    <w:rsid w:val="004A0944"/>
    <w:rsid w:val="004A1752"/>
    <w:rsid w:val="004A35D0"/>
    <w:rsid w:val="004A436C"/>
    <w:rsid w:val="004A5ED3"/>
    <w:rsid w:val="004A61CE"/>
    <w:rsid w:val="004A6394"/>
    <w:rsid w:val="004A68BC"/>
    <w:rsid w:val="004A7B64"/>
    <w:rsid w:val="004B0244"/>
    <w:rsid w:val="004B0773"/>
    <w:rsid w:val="004B0F8C"/>
    <w:rsid w:val="004B145E"/>
    <w:rsid w:val="004B3CC3"/>
    <w:rsid w:val="004B447E"/>
    <w:rsid w:val="004B4CDA"/>
    <w:rsid w:val="004B6773"/>
    <w:rsid w:val="004B7C8B"/>
    <w:rsid w:val="004C0CE8"/>
    <w:rsid w:val="004C1D13"/>
    <w:rsid w:val="004C217A"/>
    <w:rsid w:val="004C398D"/>
    <w:rsid w:val="004C4C52"/>
    <w:rsid w:val="004C50CE"/>
    <w:rsid w:val="004C68DB"/>
    <w:rsid w:val="004C780C"/>
    <w:rsid w:val="004D00BA"/>
    <w:rsid w:val="004D1F7B"/>
    <w:rsid w:val="004D39F7"/>
    <w:rsid w:val="004D3BEB"/>
    <w:rsid w:val="004D61BF"/>
    <w:rsid w:val="004E01E6"/>
    <w:rsid w:val="004E0412"/>
    <w:rsid w:val="004E04A5"/>
    <w:rsid w:val="004E0E50"/>
    <w:rsid w:val="004E76AF"/>
    <w:rsid w:val="004F0030"/>
    <w:rsid w:val="004F2A2E"/>
    <w:rsid w:val="004F338E"/>
    <w:rsid w:val="004F349A"/>
    <w:rsid w:val="004F350F"/>
    <w:rsid w:val="004F4617"/>
    <w:rsid w:val="004F47F8"/>
    <w:rsid w:val="004F62D9"/>
    <w:rsid w:val="004F7C5B"/>
    <w:rsid w:val="004F7EC3"/>
    <w:rsid w:val="004F7F6A"/>
    <w:rsid w:val="00500C9C"/>
    <w:rsid w:val="0050127D"/>
    <w:rsid w:val="005012EF"/>
    <w:rsid w:val="00501854"/>
    <w:rsid w:val="00501BF3"/>
    <w:rsid w:val="00502A8C"/>
    <w:rsid w:val="005038C2"/>
    <w:rsid w:val="0050476F"/>
    <w:rsid w:val="00505FCA"/>
    <w:rsid w:val="00506CCE"/>
    <w:rsid w:val="00507254"/>
    <w:rsid w:val="0050770B"/>
    <w:rsid w:val="00510D26"/>
    <w:rsid w:val="005118C5"/>
    <w:rsid w:val="00513949"/>
    <w:rsid w:val="005154F9"/>
    <w:rsid w:val="0051728B"/>
    <w:rsid w:val="00517756"/>
    <w:rsid w:val="0052040B"/>
    <w:rsid w:val="005218DC"/>
    <w:rsid w:val="005219BC"/>
    <w:rsid w:val="00521CB0"/>
    <w:rsid w:val="00522C3B"/>
    <w:rsid w:val="00522E71"/>
    <w:rsid w:val="00522EAA"/>
    <w:rsid w:val="00523139"/>
    <w:rsid w:val="00523C20"/>
    <w:rsid w:val="005261AA"/>
    <w:rsid w:val="0052720C"/>
    <w:rsid w:val="0053087A"/>
    <w:rsid w:val="00531202"/>
    <w:rsid w:val="0053130C"/>
    <w:rsid w:val="005315C5"/>
    <w:rsid w:val="0053206E"/>
    <w:rsid w:val="0053270E"/>
    <w:rsid w:val="005341E6"/>
    <w:rsid w:val="00534B9F"/>
    <w:rsid w:val="0053510B"/>
    <w:rsid w:val="00535AD2"/>
    <w:rsid w:val="0053743D"/>
    <w:rsid w:val="00540DDF"/>
    <w:rsid w:val="00545244"/>
    <w:rsid w:val="00550CFC"/>
    <w:rsid w:val="00551A5E"/>
    <w:rsid w:val="00560007"/>
    <w:rsid w:val="00561B71"/>
    <w:rsid w:val="00563163"/>
    <w:rsid w:val="0056392A"/>
    <w:rsid w:val="00563C7F"/>
    <w:rsid w:val="00563D81"/>
    <w:rsid w:val="0056426A"/>
    <w:rsid w:val="00566069"/>
    <w:rsid w:val="005663AC"/>
    <w:rsid w:val="00566D90"/>
    <w:rsid w:val="005679F4"/>
    <w:rsid w:val="005707BB"/>
    <w:rsid w:val="00571DB1"/>
    <w:rsid w:val="005725B2"/>
    <w:rsid w:val="00572618"/>
    <w:rsid w:val="00572AEB"/>
    <w:rsid w:val="00572F4E"/>
    <w:rsid w:val="005731B4"/>
    <w:rsid w:val="00573D82"/>
    <w:rsid w:val="005743B7"/>
    <w:rsid w:val="00574488"/>
    <w:rsid w:val="00576173"/>
    <w:rsid w:val="00576970"/>
    <w:rsid w:val="005811C4"/>
    <w:rsid w:val="00581549"/>
    <w:rsid w:val="005839B1"/>
    <w:rsid w:val="00584BD3"/>
    <w:rsid w:val="00590D9C"/>
    <w:rsid w:val="00590FA7"/>
    <w:rsid w:val="005910C3"/>
    <w:rsid w:val="0059167E"/>
    <w:rsid w:val="00596157"/>
    <w:rsid w:val="005A0135"/>
    <w:rsid w:val="005A28A3"/>
    <w:rsid w:val="005A2F4B"/>
    <w:rsid w:val="005A35BC"/>
    <w:rsid w:val="005A4AF5"/>
    <w:rsid w:val="005A559B"/>
    <w:rsid w:val="005A76DD"/>
    <w:rsid w:val="005B05B2"/>
    <w:rsid w:val="005B0BF6"/>
    <w:rsid w:val="005B12F2"/>
    <w:rsid w:val="005B2BA6"/>
    <w:rsid w:val="005B31D6"/>
    <w:rsid w:val="005B33A2"/>
    <w:rsid w:val="005B3F86"/>
    <w:rsid w:val="005B47BE"/>
    <w:rsid w:val="005B5EE0"/>
    <w:rsid w:val="005B5FD4"/>
    <w:rsid w:val="005B6655"/>
    <w:rsid w:val="005B66FF"/>
    <w:rsid w:val="005C115B"/>
    <w:rsid w:val="005C2C9F"/>
    <w:rsid w:val="005C45B2"/>
    <w:rsid w:val="005C770E"/>
    <w:rsid w:val="005D3EFB"/>
    <w:rsid w:val="005D73B5"/>
    <w:rsid w:val="005D7ADE"/>
    <w:rsid w:val="005E1620"/>
    <w:rsid w:val="005E2351"/>
    <w:rsid w:val="005E3395"/>
    <w:rsid w:val="005E5A0E"/>
    <w:rsid w:val="005E6743"/>
    <w:rsid w:val="005E69AA"/>
    <w:rsid w:val="005F0031"/>
    <w:rsid w:val="005F0CF4"/>
    <w:rsid w:val="005F14D8"/>
    <w:rsid w:val="005F3613"/>
    <w:rsid w:val="005F5BB2"/>
    <w:rsid w:val="005F6755"/>
    <w:rsid w:val="006009D4"/>
    <w:rsid w:val="00600F30"/>
    <w:rsid w:val="00601D58"/>
    <w:rsid w:val="00602E41"/>
    <w:rsid w:val="00604066"/>
    <w:rsid w:val="00606A43"/>
    <w:rsid w:val="006102B2"/>
    <w:rsid w:val="0061109D"/>
    <w:rsid w:val="006114CE"/>
    <w:rsid w:val="00611D49"/>
    <w:rsid w:val="006125B0"/>
    <w:rsid w:val="006142E6"/>
    <w:rsid w:val="0061464A"/>
    <w:rsid w:val="0061640B"/>
    <w:rsid w:val="00616943"/>
    <w:rsid w:val="0061758B"/>
    <w:rsid w:val="00617D0F"/>
    <w:rsid w:val="006206EE"/>
    <w:rsid w:val="00620792"/>
    <w:rsid w:val="00620B49"/>
    <w:rsid w:val="00622221"/>
    <w:rsid w:val="0062243E"/>
    <w:rsid w:val="00622B51"/>
    <w:rsid w:val="006238B4"/>
    <w:rsid w:val="00623B8C"/>
    <w:rsid w:val="00623C20"/>
    <w:rsid w:val="00625DEB"/>
    <w:rsid w:val="0062788D"/>
    <w:rsid w:val="006308A9"/>
    <w:rsid w:val="00631402"/>
    <w:rsid w:val="00631B57"/>
    <w:rsid w:val="00631C8F"/>
    <w:rsid w:val="00632A5B"/>
    <w:rsid w:val="00634543"/>
    <w:rsid w:val="006354D7"/>
    <w:rsid w:val="006404FB"/>
    <w:rsid w:val="00640C64"/>
    <w:rsid w:val="00640EC9"/>
    <w:rsid w:val="0064256F"/>
    <w:rsid w:val="00642781"/>
    <w:rsid w:val="00643851"/>
    <w:rsid w:val="00643EB1"/>
    <w:rsid w:val="00644AEE"/>
    <w:rsid w:val="00646340"/>
    <w:rsid w:val="006477DA"/>
    <w:rsid w:val="00650555"/>
    <w:rsid w:val="006513AA"/>
    <w:rsid w:val="00651A46"/>
    <w:rsid w:val="006522CC"/>
    <w:rsid w:val="006535EB"/>
    <w:rsid w:val="00654774"/>
    <w:rsid w:val="00654B99"/>
    <w:rsid w:val="00656515"/>
    <w:rsid w:val="00656A5D"/>
    <w:rsid w:val="00656F25"/>
    <w:rsid w:val="006576D1"/>
    <w:rsid w:val="006601B9"/>
    <w:rsid w:val="00660A0B"/>
    <w:rsid w:val="00660C6D"/>
    <w:rsid w:val="00661833"/>
    <w:rsid w:val="00663606"/>
    <w:rsid w:val="0066368B"/>
    <w:rsid w:val="00666784"/>
    <w:rsid w:val="00667583"/>
    <w:rsid w:val="00667646"/>
    <w:rsid w:val="00667887"/>
    <w:rsid w:val="006705FB"/>
    <w:rsid w:val="00671943"/>
    <w:rsid w:val="00675381"/>
    <w:rsid w:val="006758AA"/>
    <w:rsid w:val="006761FC"/>
    <w:rsid w:val="00681008"/>
    <w:rsid w:val="00681E1B"/>
    <w:rsid w:val="00682654"/>
    <w:rsid w:val="00683C9A"/>
    <w:rsid w:val="00683FA6"/>
    <w:rsid w:val="00684E86"/>
    <w:rsid w:val="00685115"/>
    <w:rsid w:val="00685CC9"/>
    <w:rsid w:val="00685FE2"/>
    <w:rsid w:val="0068653A"/>
    <w:rsid w:val="0068717C"/>
    <w:rsid w:val="00690A8F"/>
    <w:rsid w:val="00690F46"/>
    <w:rsid w:val="0069258E"/>
    <w:rsid w:val="00693FF8"/>
    <w:rsid w:val="00694983"/>
    <w:rsid w:val="00697F93"/>
    <w:rsid w:val="006A08F3"/>
    <w:rsid w:val="006A5217"/>
    <w:rsid w:val="006A59E1"/>
    <w:rsid w:val="006A775D"/>
    <w:rsid w:val="006B1581"/>
    <w:rsid w:val="006B461D"/>
    <w:rsid w:val="006B53E2"/>
    <w:rsid w:val="006B5971"/>
    <w:rsid w:val="006B605E"/>
    <w:rsid w:val="006B6173"/>
    <w:rsid w:val="006B628D"/>
    <w:rsid w:val="006C07BF"/>
    <w:rsid w:val="006C1355"/>
    <w:rsid w:val="006C1E8C"/>
    <w:rsid w:val="006C2D68"/>
    <w:rsid w:val="006C3B21"/>
    <w:rsid w:val="006C4013"/>
    <w:rsid w:val="006C4F6B"/>
    <w:rsid w:val="006C536E"/>
    <w:rsid w:val="006C5E13"/>
    <w:rsid w:val="006C72D6"/>
    <w:rsid w:val="006D21A9"/>
    <w:rsid w:val="006D2B28"/>
    <w:rsid w:val="006D3C74"/>
    <w:rsid w:val="006D4CFE"/>
    <w:rsid w:val="006D540B"/>
    <w:rsid w:val="006E5C8C"/>
    <w:rsid w:val="006E688F"/>
    <w:rsid w:val="006E71EA"/>
    <w:rsid w:val="006E7DDE"/>
    <w:rsid w:val="006F00BE"/>
    <w:rsid w:val="006F040C"/>
    <w:rsid w:val="006F077E"/>
    <w:rsid w:val="006F1146"/>
    <w:rsid w:val="006F15AC"/>
    <w:rsid w:val="006F168D"/>
    <w:rsid w:val="006F40E0"/>
    <w:rsid w:val="006F55C8"/>
    <w:rsid w:val="00703260"/>
    <w:rsid w:val="00703646"/>
    <w:rsid w:val="007038A2"/>
    <w:rsid w:val="00704EC9"/>
    <w:rsid w:val="00706659"/>
    <w:rsid w:val="00707955"/>
    <w:rsid w:val="00707D73"/>
    <w:rsid w:val="007119A9"/>
    <w:rsid w:val="007140BA"/>
    <w:rsid w:val="00715885"/>
    <w:rsid w:val="00715BEE"/>
    <w:rsid w:val="007165FF"/>
    <w:rsid w:val="0071771B"/>
    <w:rsid w:val="00717A93"/>
    <w:rsid w:val="00717CC5"/>
    <w:rsid w:val="00722659"/>
    <w:rsid w:val="00723E95"/>
    <w:rsid w:val="00723FB8"/>
    <w:rsid w:val="00724167"/>
    <w:rsid w:val="00724D16"/>
    <w:rsid w:val="00726F0C"/>
    <w:rsid w:val="00727957"/>
    <w:rsid w:val="00727A3F"/>
    <w:rsid w:val="007302A2"/>
    <w:rsid w:val="00730390"/>
    <w:rsid w:val="007316DD"/>
    <w:rsid w:val="00731FCD"/>
    <w:rsid w:val="00732133"/>
    <w:rsid w:val="00732221"/>
    <w:rsid w:val="00732478"/>
    <w:rsid w:val="007327DA"/>
    <w:rsid w:val="00734611"/>
    <w:rsid w:val="00735170"/>
    <w:rsid w:val="00735A95"/>
    <w:rsid w:val="007363E5"/>
    <w:rsid w:val="0073679B"/>
    <w:rsid w:val="00737CD6"/>
    <w:rsid w:val="00742E03"/>
    <w:rsid w:val="0074540D"/>
    <w:rsid w:val="00745A9E"/>
    <w:rsid w:val="00746656"/>
    <w:rsid w:val="00747085"/>
    <w:rsid w:val="00747411"/>
    <w:rsid w:val="0075122C"/>
    <w:rsid w:val="00752074"/>
    <w:rsid w:val="00752AFF"/>
    <w:rsid w:val="00752DAC"/>
    <w:rsid w:val="007530FB"/>
    <w:rsid w:val="007531B7"/>
    <w:rsid w:val="00754CFC"/>
    <w:rsid w:val="00755958"/>
    <w:rsid w:val="007562E9"/>
    <w:rsid w:val="007563C1"/>
    <w:rsid w:val="00756AE3"/>
    <w:rsid w:val="00756F11"/>
    <w:rsid w:val="0076354C"/>
    <w:rsid w:val="00765AF9"/>
    <w:rsid w:val="00766FDD"/>
    <w:rsid w:val="007671E3"/>
    <w:rsid w:val="007674F3"/>
    <w:rsid w:val="00770AF9"/>
    <w:rsid w:val="0077177F"/>
    <w:rsid w:val="007721A6"/>
    <w:rsid w:val="00774A9A"/>
    <w:rsid w:val="00774CF4"/>
    <w:rsid w:val="00776201"/>
    <w:rsid w:val="007806E4"/>
    <w:rsid w:val="007825AC"/>
    <w:rsid w:val="0078386C"/>
    <w:rsid w:val="007843CF"/>
    <w:rsid w:val="007843E6"/>
    <w:rsid w:val="00784FAD"/>
    <w:rsid w:val="0078571B"/>
    <w:rsid w:val="00786A37"/>
    <w:rsid w:val="00787619"/>
    <w:rsid w:val="00787EF4"/>
    <w:rsid w:val="00790621"/>
    <w:rsid w:val="00793E0A"/>
    <w:rsid w:val="00794A0C"/>
    <w:rsid w:val="0079583F"/>
    <w:rsid w:val="00795DB3"/>
    <w:rsid w:val="00796A49"/>
    <w:rsid w:val="0079730E"/>
    <w:rsid w:val="007974EC"/>
    <w:rsid w:val="00797504"/>
    <w:rsid w:val="00797ACF"/>
    <w:rsid w:val="007A2429"/>
    <w:rsid w:val="007A3D22"/>
    <w:rsid w:val="007A6F2A"/>
    <w:rsid w:val="007A78D1"/>
    <w:rsid w:val="007B14A8"/>
    <w:rsid w:val="007B1FDC"/>
    <w:rsid w:val="007B3EA6"/>
    <w:rsid w:val="007B4B2B"/>
    <w:rsid w:val="007B57BE"/>
    <w:rsid w:val="007B7E76"/>
    <w:rsid w:val="007C1232"/>
    <w:rsid w:val="007C3290"/>
    <w:rsid w:val="007C38D9"/>
    <w:rsid w:val="007C4632"/>
    <w:rsid w:val="007C55C0"/>
    <w:rsid w:val="007C6ECD"/>
    <w:rsid w:val="007D0C23"/>
    <w:rsid w:val="007D1A24"/>
    <w:rsid w:val="007D669C"/>
    <w:rsid w:val="007D6BA3"/>
    <w:rsid w:val="007D794A"/>
    <w:rsid w:val="007E0EA0"/>
    <w:rsid w:val="007E1DB3"/>
    <w:rsid w:val="007E1EDE"/>
    <w:rsid w:val="007E3A9E"/>
    <w:rsid w:val="007E6731"/>
    <w:rsid w:val="007E72E9"/>
    <w:rsid w:val="007E7E77"/>
    <w:rsid w:val="007F5492"/>
    <w:rsid w:val="007F62D4"/>
    <w:rsid w:val="007F704B"/>
    <w:rsid w:val="007F7460"/>
    <w:rsid w:val="00800A3C"/>
    <w:rsid w:val="00800EFE"/>
    <w:rsid w:val="00802718"/>
    <w:rsid w:val="00802F71"/>
    <w:rsid w:val="0080495C"/>
    <w:rsid w:val="00804A57"/>
    <w:rsid w:val="00805EDA"/>
    <w:rsid w:val="00806245"/>
    <w:rsid w:val="00807645"/>
    <w:rsid w:val="00810681"/>
    <w:rsid w:val="00810D0C"/>
    <w:rsid w:val="0081143E"/>
    <w:rsid w:val="00811E31"/>
    <w:rsid w:val="00812187"/>
    <w:rsid w:val="0081299F"/>
    <w:rsid w:val="0081329E"/>
    <w:rsid w:val="00813760"/>
    <w:rsid w:val="0081484A"/>
    <w:rsid w:val="00817D4A"/>
    <w:rsid w:val="0082585B"/>
    <w:rsid w:val="00826A15"/>
    <w:rsid w:val="008313CC"/>
    <w:rsid w:val="00831F62"/>
    <w:rsid w:val="00837466"/>
    <w:rsid w:val="008405B1"/>
    <w:rsid w:val="00840802"/>
    <w:rsid w:val="00840808"/>
    <w:rsid w:val="0084152C"/>
    <w:rsid w:val="00841C73"/>
    <w:rsid w:val="00841DF3"/>
    <w:rsid w:val="00841FDA"/>
    <w:rsid w:val="00842510"/>
    <w:rsid w:val="0084350C"/>
    <w:rsid w:val="00843CD7"/>
    <w:rsid w:val="00847CD2"/>
    <w:rsid w:val="00851C44"/>
    <w:rsid w:val="00852072"/>
    <w:rsid w:val="008529FE"/>
    <w:rsid w:val="00853E46"/>
    <w:rsid w:val="00854098"/>
    <w:rsid w:val="008561B8"/>
    <w:rsid w:val="008563FF"/>
    <w:rsid w:val="0086073A"/>
    <w:rsid w:val="00861BA7"/>
    <w:rsid w:val="00862FB7"/>
    <w:rsid w:val="00863DEC"/>
    <w:rsid w:val="0086518B"/>
    <w:rsid w:val="00870EDD"/>
    <w:rsid w:val="00871670"/>
    <w:rsid w:val="00871BA9"/>
    <w:rsid w:val="00871DD8"/>
    <w:rsid w:val="00871FB7"/>
    <w:rsid w:val="00872C50"/>
    <w:rsid w:val="00873F0D"/>
    <w:rsid w:val="00874189"/>
    <w:rsid w:val="00874193"/>
    <w:rsid w:val="008747BF"/>
    <w:rsid w:val="00874B47"/>
    <w:rsid w:val="00875637"/>
    <w:rsid w:val="00881578"/>
    <w:rsid w:val="0088322E"/>
    <w:rsid w:val="008832C8"/>
    <w:rsid w:val="00883B19"/>
    <w:rsid w:val="00887269"/>
    <w:rsid w:val="00887561"/>
    <w:rsid w:val="00891FA5"/>
    <w:rsid w:val="008949C6"/>
    <w:rsid w:val="008953A6"/>
    <w:rsid w:val="008960AD"/>
    <w:rsid w:val="00896686"/>
    <w:rsid w:val="008966B1"/>
    <w:rsid w:val="008969D0"/>
    <w:rsid w:val="00897AF5"/>
    <w:rsid w:val="008A0903"/>
    <w:rsid w:val="008A45C1"/>
    <w:rsid w:val="008A4D0C"/>
    <w:rsid w:val="008B018A"/>
    <w:rsid w:val="008B03A2"/>
    <w:rsid w:val="008B0C08"/>
    <w:rsid w:val="008B3378"/>
    <w:rsid w:val="008B4142"/>
    <w:rsid w:val="008B5D37"/>
    <w:rsid w:val="008B604C"/>
    <w:rsid w:val="008B60F6"/>
    <w:rsid w:val="008B6125"/>
    <w:rsid w:val="008B6375"/>
    <w:rsid w:val="008B6534"/>
    <w:rsid w:val="008C1AFE"/>
    <w:rsid w:val="008C209A"/>
    <w:rsid w:val="008C20E5"/>
    <w:rsid w:val="008C24BD"/>
    <w:rsid w:val="008C2A70"/>
    <w:rsid w:val="008C4597"/>
    <w:rsid w:val="008C4CCE"/>
    <w:rsid w:val="008C5685"/>
    <w:rsid w:val="008C5E18"/>
    <w:rsid w:val="008C6345"/>
    <w:rsid w:val="008C6348"/>
    <w:rsid w:val="008C75C2"/>
    <w:rsid w:val="008C79A7"/>
    <w:rsid w:val="008D43D7"/>
    <w:rsid w:val="008D504C"/>
    <w:rsid w:val="008D6A7C"/>
    <w:rsid w:val="008D6EBC"/>
    <w:rsid w:val="008D7767"/>
    <w:rsid w:val="008D79D6"/>
    <w:rsid w:val="008D7FF5"/>
    <w:rsid w:val="008E12C2"/>
    <w:rsid w:val="008E3983"/>
    <w:rsid w:val="008E3D70"/>
    <w:rsid w:val="008E4262"/>
    <w:rsid w:val="008E54BC"/>
    <w:rsid w:val="008E63F7"/>
    <w:rsid w:val="008E6BDB"/>
    <w:rsid w:val="008E7832"/>
    <w:rsid w:val="008F0D4C"/>
    <w:rsid w:val="008F2A19"/>
    <w:rsid w:val="008F35E9"/>
    <w:rsid w:val="008F3777"/>
    <w:rsid w:val="008F5D7E"/>
    <w:rsid w:val="008F6908"/>
    <w:rsid w:val="00904BBF"/>
    <w:rsid w:val="009054CF"/>
    <w:rsid w:val="0091092C"/>
    <w:rsid w:val="009112F9"/>
    <w:rsid w:val="009126AB"/>
    <w:rsid w:val="009127C6"/>
    <w:rsid w:val="00912A32"/>
    <w:rsid w:val="009154C2"/>
    <w:rsid w:val="0091676B"/>
    <w:rsid w:val="00917186"/>
    <w:rsid w:val="00917561"/>
    <w:rsid w:val="00920A4E"/>
    <w:rsid w:val="00920EA2"/>
    <w:rsid w:val="009218BE"/>
    <w:rsid w:val="00921DEF"/>
    <w:rsid w:val="0092229A"/>
    <w:rsid w:val="0092314A"/>
    <w:rsid w:val="00924805"/>
    <w:rsid w:val="00924DB0"/>
    <w:rsid w:val="009264F8"/>
    <w:rsid w:val="009265B5"/>
    <w:rsid w:val="00926A1F"/>
    <w:rsid w:val="00927225"/>
    <w:rsid w:val="00930FED"/>
    <w:rsid w:val="00932384"/>
    <w:rsid w:val="00932AD5"/>
    <w:rsid w:val="00933EF9"/>
    <w:rsid w:val="00934FFF"/>
    <w:rsid w:val="0093703F"/>
    <w:rsid w:val="00937752"/>
    <w:rsid w:val="009377A2"/>
    <w:rsid w:val="00937D00"/>
    <w:rsid w:val="00941FD8"/>
    <w:rsid w:val="00944B71"/>
    <w:rsid w:val="00945209"/>
    <w:rsid w:val="00946C1A"/>
    <w:rsid w:val="0094718D"/>
    <w:rsid w:val="0094737E"/>
    <w:rsid w:val="009504A4"/>
    <w:rsid w:val="00950B0F"/>
    <w:rsid w:val="0095156C"/>
    <w:rsid w:val="009525F5"/>
    <w:rsid w:val="009528AA"/>
    <w:rsid w:val="00952EE4"/>
    <w:rsid w:val="00953B05"/>
    <w:rsid w:val="009564C8"/>
    <w:rsid w:val="009566BD"/>
    <w:rsid w:val="00956AA8"/>
    <w:rsid w:val="00956E17"/>
    <w:rsid w:val="00957601"/>
    <w:rsid w:val="00957FF3"/>
    <w:rsid w:val="0096112B"/>
    <w:rsid w:val="00962B83"/>
    <w:rsid w:val="009646E4"/>
    <w:rsid w:val="0096615F"/>
    <w:rsid w:val="00966A79"/>
    <w:rsid w:val="00967AAF"/>
    <w:rsid w:val="00967FC3"/>
    <w:rsid w:val="009700F2"/>
    <w:rsid w:val="00971035"/>
    <w:rsid w:val="00974189"/>
    <w:rsid w:val="00974DF0"/>
    <w:rsid w:val="00975CDD"/>
    <w:rsid w:val="00976431"/>
    <w:rsid w:val="00977DAF"/>
    <w:rsid w:val="00977DF6"/>
    <w:rsid w:val="009808CC"/>
    <w:rsid w:val="009816EC"/>
    <w:rsid w:val="00983302"/>
    <w:rsid w:val="00984C7F"/>
    <w:rsid w:val="009857FA"/>
    <w:rsid w:val="00986908"/>
    <w:rsid w:val="00987449"/>
    <w:rsid w:val="00990221"/>
    <w:rsid w:val="00990250"/>
    <w:rsid w:val="009907ED"/>
    <w:rsid w:val="00990AF2"/>
    <w:rsid w:val="00995193"/>
    <w:rsid w:val="009951B5"/>
    <w:rsid w:val="00996CA3"/>
    <w:rsid w:val="00996E1D"/>
    <w:rsid w:val="009A030B"/>
    <w:rsid w:val="009A1415"/>
    <w:rsid w:val="009A5342"/>
    <w:rsid w:val="009A5D9D"/>
    <w:rsid w:val="009A6776"/>
    <w:rsid w:val="009B06B4"/>
    <w:rsid w:val="009B1F8D"/>
    <w:rsid w:val="009B2039"/>
    <w:rsid w:val="009B42E5"/>
    <w:rsid w:val="009B510E"/>
    <w:rsid w:val="009B61A5"/>
    <w:rsid w:val="009B6BE5"/>
    <w:rsid w:val="009B6D1D"/>
    <w:rsid w:val="009B7853"/>
    <w:rsid w:val="009B7B1B"/>
    <w:rsid w:val="009B7D41"/>
    <w:rsid w:val="009C1169"/>
    <w:rsid w:val="009C187F"/>
    <w:rsid w:val="009C1E41"/>
    <w:rsid w:val="009C361A"/>
    <w:rsid w:val="009C5B1C"/>
    <w:rsid w:val="009C7099"/>
    <w:rsid w:val="009D0FBE"/>
    <w:rsid w:val="009D24B3"/>
    <w:rsid w:val="009D2D30"/>
    <w:rsid w:val="009D300C"/>
    <w:rsid w:val="009D44F1"/>
    <w:rsid w:val="009D514B"/>
    <w:rsid w:val="009D5591"/>
    <w:rsid w:val="009D5656"/>
    <w:rsid w:val="009E0D81"/>
    <w:rsid w:val="009E11E4"/>
    <w:rsid w:val="009E3889"/>
    <w:rsid w:val="009E4B53"/>
    <w:rsid w:val="009E6751"/>
    <w:rsid w:val="009E730A"/>
    <w:rsid w:val="009E7DEB"/>
    <w:rsid w:val="009F1A4B"/>
    <w:rsid w:val="009F2D74"/>
    <w:rsid w:val="009F397A"/>
    <w:rsid w:val="009F4518"/>
    <w:rsid w:val="009F4B23"/>
    <w:rsid w:val="009F4FDE"/>
    <w:rsid w:val="009F580B"/>
    <w:rsid w:val="009F6CC3"/>
    <w:rsid w:val="00A0183E"/>
    <w:rsid w:val="00A05011"/>
    <w:rsid w:val="00A055A7"/>
    <w:rsid w:val="00A124E0"/>
    <w:rsid w:val="00A12CB5"/>
    <w:rsid w:val="00A1307D"/>
    <w:rsid w:val="00A146A7"/>
    <w:rsid w:val="00A14CBC"/>
    <w:rsid w:val="00A157F3"/>
    <w:rsid w:val="00A178E0"/>
    <w:rsid w:val="00A241AF"/>
    <w:rsid w:val="00A24223"/>
    <w:rsid w:val="00A24971"/>
    <w:rsid w:val="00A264ED"/>
    <w:rsid w:val="00A2759C"/>
    <w:rsid w:val="00A27A45"/>
    <w:rsid w:val="00A3298B"/>
    <w:rsid w:val="00A33D0A"/>
    <w:rsid w:val="00A340DE"/>
    <w:rsid w:val="00A348D0"/>
    <w:rsid w:val="00A35200"/>
    <w:rsid w:val="00A37851"/>
    <w:rsid w:val="00A4041A"/>
    <w:rsid w:val="00A40F9A"/>
    <w:rsid w:val="00A419DF"/>
    <w:rsid w:val="00A41F7E"/>
    <w:rsid w:val="00A42745"/>
    <w:rsid w:val="00A45D97"/>
    <w:rsid w:val="00A45E92"/>
    <w:rsid w:val="00A462B5"/>
    <w:rsid w:val="00A46862"/>
    <w:rsid w:val="00A46932"/>
    <w:rsid w:val="00A50579"/>
    <w:rsid w:val="00A506A2"/>
    <w:rsid w:val="00A506DE"/>
    <w:rsid w:val="00A50F63"/>
    <w:rsid w:val="00A50F8E"/>
    <w:rsid w:val="00A51701"/>
    <w:rsid w:val="00A52969"/>
    <w:rsid w:val="00A52ED7"/>
    <w:rsid w:val="00A54D1F"/>
    <w:rsid w:val="00A5540B"/>
    <w:rsid w:val="00A56EDC"/>
    <w:rsid w:val="00A6055E"/>
    <w:rsid w:val="00A61852"/>
    <w:rsid w:val="00A6187D"/>
    <w:rsid w:val="00A63783"/>
    <w:rsid w:val="00A63D14"/>
    <w:rsid w:val="00A63FF5"/>
    <w:rsid w:val="00A64A74"/>
    <w:rsid w:val="00A64AF7"/>
    <w:rsid w:val="00A64BEE"/>
    <w:rsid w:val="00A661E3"/>
    <w:rsid w:val="00A66208"/>
    <w:rsid w:val="00A668CB"/>
    <w:rsid w:val="00A67B65"/>
    <w:rsid w:val="00A67DF5"/>
    <w:rsid w:val="00A706B6"/>
    <w:rsid w:val="00A7195B"/>
    <w:rsid w:val="00A74B7C"/>
    <w:rsid w:val="00A77279"/>
    <w:rsid w:val="00A772F2"/>
    <w:rsid w:val="00A800F7"/>
    <w:rsid w:val="00A82785"/>
    <w:rsid w:val="00A82F0D"/>
    <w:rsid w:val="00A83195"/>
    <w:rsid w:val="00A841CE"/>
    <w:rsid w:val="00A841D7"/>
    <w:rsid w:val="00A84DD2"/>
    <w:rsid w:val="00A84F45"/>
    <w:rsid w:val="00A8526F"/>
    <w:rsid w:val="00A86643"/>
    <w:rsid w:val="00A921B6"/>
    <w:rsid w:val="00A92890"/>
    <w:rsid w:val="00A940D0"/>
    <w:rsid w:val="00A9679E"/>
    <w:rsid w:val="00A974FC"/>
    <w:rsid w:val="00A97A92"/>
    <w:rsid w:val="00AA01F0"/>
    <w:rsid w:val="00AA131B"/>
    <w:rsid w:val="00AA302E"/>
    <w:rsid w:val="00AA439E"/>
    <w:rsid w:val="00AA48F6"/>
    <w:rsid w:val="00AA4A26"/>
    <w:rsid w:val="00AA4FF8"/>
    <w:rsid w:val="00AA513B"/>
    <w:rsid w:val="00AA6A13"/>
    <w:rsid w:val="00AB0302"/>
    <w:rsid w:val="00AB0FC3"/>
    <w:rsid w:val="00AB11CA"/>
    <w:rsid w:val="00AB29C6"/>
    <w:rsid w:val="00AB37C6"/>
    <w:rsid w:val="00AB4C0D"/>
    <w:rsid w:val="00AB522A"/>
    <w:rsid w:val="00AB5F3E"/>
    <w:rsid w:val="00AB6B13"/>
    <w:rsid w:val="00AC084E"/>
    <w:rsid w:val="00AC2EDE"/>
    <w:rsid w:val="00AC4FA4"/>
    <w:rsid w:val="00AC541D"/>
    <w:rsid w:val="00AC6850"/>
    <w:rsid w:val="00AD0172"/>
    <w:rsid w:val="00AD0817"/>
    <w:rsid w:val="00AD1B2A"/>
    <w:rsid w:val="00AD1E3D"/>
    <w:rsid w:val="00AD2187"/>
    <w:rsid w:val="00AD24B4"/>
    <w:rsid w:val="00AD2E85"/>
    <w:rsid w:val="00AD3657"/>
    <w:rsid w:val="00AD3811"/>
    <w:rsid w:val="00AD39B3"/>
    <w:rsid w:val="00AD401E"/>
    <w:rsid w:val="00AD42ED"/>
    <w:rsid w:val="00AD4885"/>
    <w:rsid w:val="00AD5FE2"/>
    <w:rsid w:val="00AD61AF"/>
    <w:rsid w:val="00AD73D2"/>
    <w:rsid w:val="00AE01AD"/>
    <w:rsid w:val="00AE185A"/>
    <w:rsid w:val="00AE2690"/>
    <w:rsid w:val="00AE33E4"/>
    <w:rsid w:val="00AE4225"/>
    <w:rsid w:val="00AE49B7"/>
    <w:rsid w:val="00AE546C"/>
    <w:rsid w:val="00AE7629"/>
    <w:rsid w:val="00AE77E1"/>
    <w:rsid w:val="00AE7A6C"/>
    <w:rsid w:val="00AF1358"/>
    <w:rsid w:val="00AF1BAB"/>
    <w:rsid w:val="00AF21DA"/>
    <w:rsid w:val="00AF3115"/>
    <w:rsid w:val="00AF3A50"/>
    <w:rsid w:val="00AF430C"/>
    <w:rsid w:val="00AF4619"/>
    <w:rsid w:val="00AF4712"/>
    <w:rsid w:val="00AF4F93"/>
    <w:rsid w:val="00AF570A"/>
    <w:rsid w:val="00AF5CA4"/>
    <w:rsid w:val="00AF6B6F"/>
    <w:rsid w:val="00AF7414"/>
    <w:rsid w:val="00AF7999"/>
    <w:rsid w:val="00B01312"/>
    <w:rsid w:val="00B01F83"/>
    <w:rsid w:val="00B027DE"/>
    <w:rsid w:val="00B0383E"/>
    <w:rsid w:val="00B03844"/>
    <w:rsid w:val="00B04C49"/>
    <w:rsid w:val="00B05542"/>
    <w:rsid w:val="00B06DA9"/>
    <w:rsid w:val="00B073E3"/>
    <w:rsid w:val="00B07AC1"/>
    <w:rsid w:val="00B1085E"/>
    <w:rsid w:val="00B11A73"/>
    <w:rsid w:val="00B13202"/>
    <w:rsid w:val="00B13723"/>
    <w:rsid w:val="00B14566"/>
    <w:rsid w:val="00B15A66"/>
    <w:rsid w:val="00B171F8"/>
    <w:rsid w:val="00B1747E"/>
    <w:rsid w:val="00B21B28"/>
    <w:rsid w:val="00B2243D"/>
    <w:rsid w:val="00B25421"/>
    <w:rsid w:val="00B271A9"/>
    <w:rsid w:val="00B3022B"/>
    <w:rsid w:val="00B31B25"/>
    <w:rsid w:val="00B32149"/>
    <w:rsid w:val="00B321B6"/>
    <w:rsid w:val="00B326DE"/>
    <w:rsid w:val="00B33C6F"/>
    <w:rsid w:val="00B36311"/>
    <w:rsid w:val="00B37CBE"/>
    <w:rsid w:val="00B40614"/>
    <w:rsid w:val="00B429FE"/>
    <w:rsid w:val="00B43DAA"/>
    <w:rsid w:val="00B43FED"/>
    <w:rsid w:val="00B44E0E"/>
    <w:rsid w:val="00B45195"/>
    <w:rsid w:val="00B451E6"/>
    <w:rsid w:val="00B454C4"/>
    <w:rsid w:val="00B45C0A"/>
    <w:rsid w:val="00B46904"/>
    <w:rsid w:val="00B46EAC"/>
    <w:rsid w:val="00B46F77"/>
    <w:rsid w:val="00B473EC"/>
    <w:rsid w:val="00B51E0D"/>
    <w:rsid w:val="00B52A7D"/>
    <w:rsid w:val="00B53498"/>
    <w:rsid w:val="00B55484"/>
    <w:rsid w:val="00B55B1F"/>
    <w:rsid w:val="00B55F51"/>
    <w:rsid w:val="00B56223"/>
    <w:rsid w:val="00B567C9"/>
    <w:rsid w:val="00B569A9"/>
    <w:rsid w:val="00B56AC5"/>
    <w:rsid w:val="00B57358"/>
    <w:rsid w:val="00B57F3F"/>
    <w:rsid w:val="00B602FC"/>
    <w:rsid w:val="00B623F4"/>
    <w:rsid w:val="00B626A1"/>
    <w:rsid w:val="00B64397"/>
    <w:rsid w:val="00B66540"/>
    <w:rsid w:val="00B66FE1"/>
    <w:rsid w:val="00B6783E"/>
    <w:rsid w:val="00B70F42"/>
    <w:rsid w:val="00B70FD3"/>
    <w:rsid w:val="00B73F32"/>
    <w:rsid w:val="00B74695"/>
    <w:rsid w:val="00B750B8"/>
    <w:rsid w:val="00B75613"/>
    <w:rsid w:val="00B76264"/>
    <w:rsid w:val="00B77289"/>
    <w:rsid w:val="00B77AFC"/>
    <w:rsid w:val="00B801AA"/>
    <w:rsid w:val="00B80B66"/>
    <w:rsid w:val="00B80CAA"/>
    <w:rsid w:val="00B82588"/>
    <w:rsid w:val="00B82B3F"/>
    <w:rsid w:val="00B82F9F"/>
    <w:rsid w:val="00B8303B"/>
    <w:rsid w:val="00B83A0D"/>
    <w:rsid w:val="00B84C82"/>
    <w:rsid w:val="00B857A4"/>
    <w:rsid w:val="00B86CF8"/>
    <w:rsid w:val="00B9034E"/>
    <w:rsid w:val="00B91029"/>
    <w:rsid w:val="00B9321E"/>
    <w:rsid w:val="00B93D0B"/>
    <w:rsid w:val="00B9445C"/>
    <w:rsid w:val="00B94B70"/>
    <w:rsid w:val="00B95B25"/>
    <w:rsid w:val="00B95D7A"/>
    <w:rsid w:val="00B973EC"/>
    <w:rsid w:val="00B976E3"/>
    <w:rsid w:val="00BA059A"/>
    <w:rsid w:val="00BA17E1"/>
    <w:rsid w:val="00BA2176"/>
    <w:rsid w:val="00BA2EB6"/>
    <w:rsid w:val="00BA358C"/>
    <w:rsid w:val="00BA4191"/>
    <w:rsid w:val="00BA4B79"/>
    <w:rsid w:val="00BA51E0"/>
    <w:rsid w:val="00BA58AD"/>
    <w:rsid w:val="00BA5FD6"/>
    <w:rsid w:val="00BB0FF6"/>
    <w:rsid w:val="00BB2552"/>
    <w:rsid w:val="00BB3555"/>
    <w:rsid w:val="00BB6669"/>
    <w:rsid w:val="00BB6B7E"/>
    <w:rsid w:val="00BC0197"/>
    <w:rsid w:val="00BC0530"/>
    <w:rsid w:val="00BC0818"/>
    <w:rsid w:val="00BC09C0"/>
    <w:rsid w:val="00BC270B"/>
    <w:rsid w:val="00BC3C72"/>
    <w:rsid w:val="00BC43DF"/>
    <w:rsid w:val="00BC4AB2"/>
    <w:rsid w:val="00BC658B"/>
    <w:rsid w:val="00BD1359"/>
    <w:rsid w:val="00BD32BA"/>
    <w:rsid w:val="00BD5E40"/>
    <w:rsid w:val="00BD6879"/>
    <w:rsid w:val="00BD7A89"/>
    <w:rsid w:val="00BE26D3"/>
    <w:rsid w:val="00BE2B68"/>
    <w:rsid w:val="00BE4252"/>
    <w:rsid w:val="00BE5CA3"/>
    <w:rsid w:val="00BE5DAD"/>
    <w:rsid w:val="00BE5EDE"/>
    <w:rsid w:val="00BF0E92"/>
    <w:rsid w:val="00BF1BF3"/>
    <w:rsid w:val="00BF485A"/>
    <w:rsid w:val="00BF5479"/>
    <w:rsid w:val="00BF59FB"/>
    <w:rsid w:val="00BF6343"/>
    <w:rsid w:val="00BF662D"/>
    <w:rsid w:val="00BF7525"/>
    <w:rsid w:val="00C0144E"/>
    <w:rsid w:val="00C054A2"/>
    <w:rsid w:val="00C05E8D"/>
    <w:rsid w:val="00C060B9"/>
    <w:rsid w:val="00C10B75"/>
    <w:rsid w:val="00C10C59"/>
    <w:rsid w:val="00C1281F"/>
    <w:rsid w:val="00C12D50"/>
    <w:rsid w:val="00C140F2"/>
    <w:rsid w:val="00C141DB"/>
    <w:rsid w:val="00C14406"/>
    <w:rsid w:val="00C146D5"/>
    <w:rsid w:val="00C206BC"/>
    <w:rsid w:val="00C224BD"/>
    <w:rsid w:val="00C22BF2"/>
    <w:rsid w:val="00C239F5"/>
    <w:rsid w:val="00C2414B"/>
    <w:rsid w:val="00C24F34"/>
    <w:rsid w:val="00C2657C"/>
    <w:rsid w:val="00C314B5"/>
    <w:rsid w:val="00C3361B"/>
    <w:rsid w:val="00C34168"/>
    <w:rsid w:val="00C34880"/>
    <w:rsid w:val="00C350BA"/>
    <w:rsid w:val="00C35FED"/>
    <w:rsid w:val="00C37353"/>
    <w:rsid w:val="00C3796A"/>
    <w:rsid w:val="00C37E3C"/>
    <w:rsid w:val="00C43B4F"/>
    <w:rsid w:val="00C43CE6"/>
    <w:rsid w:val="00C43F13"/>
    <w:rsid w:val="00C45B68"/>
    <w:rsid w:val="00C45F86"/>
    <w:rsid w:val="00C46627"/>
    <w:rsid w:val="00C4754A"/>
    <w:rsid w:val="00C5092C"/>
    <w:rsid w:val="00C538FE"/>
    <w:rsid w:val="00C5396E"/>
    <w:rsid w:val="00C55286"/>
    <w:rsid w:val="00C55B1F"/>
    <w:rsid w:val="00C56B72"/>
    <w:rsid w:val="00C574D0"/>
    <w:rsid w:val="00C57839"/>
    <w:rsid w:val="00C57AF0"/>
    <w:rsid w:val="00C57BA6"/>
    <w:rsid w:val="00C63097"/>
    <w:rsid w:val="00C637DC"/>
    <w:rsid w:val="00C640DA"/>
    <w:rsid w:val="00C642E4"/>
    <w:rsid w:val="00C6446F"/>
    <w:rsid w:val="00C64E12"/>
    <w:rsid w:val="00C64FBE"/>
    <w:rsid w:val="00C653B5"/>
    <w:rsid w:val="00C664B0"/>
    <w:rsid w:val="00C6681E"/>
    <w:rsid w:val="00C70A74"/>
    <w:rsid w:val="00C70B2E"/>
    <w:rsid w:val="00C721E2"/>
    <w:rsid w:val="00C72828"/>
    <w:rsid w:val="00C72E8F"/>
    <w:rsid w:val="00C72F88"/>
    <w:rsid w:val="00C7434D"/>
    <w:rsid w:val="00C74FDC"/>
    <w:rsid w:val="00C762E0"/>
    <w:rsid w:val="00C80909"/>
    <w:rsid w:val="00C80DBA"/>
    <w:rsid w:val="00C81330"/>
    <w:rsid w:val="00C81CB9"/>
    <w:rsid w:val="00C82AF6"/>
    <w:rsid w:val="00C83106"/>
    <w:rsid w:val="00C8643D"/>
    <w:rsid w:val="00C87616"/>
    <w:rsid w:val="00C87CC0"/>
    <w:rsid w:val="00C908A6"/>
    <w:rsid w:val="00C90D39"/>
    <w:rsid w:val="00C91AFB"/>
    <w:rsid w:val="00C92CF7"/>
    <w:rsid w:val="00C93BFD"/>
    <w:rsid w:val="00C962A4"/>
    <w:rsid w:val="00C972EC"/>
    <w:rsid w:val="00CA0481"/>
    <w:rsid w:val="00CA1495"/>
    <w:rsid w:val="00CA161C"/>
    <w:rsid w:val="00CA1B89"/>
    <w:rsid w:val="00CA338A"/>
    <w:rsid w:val="00CA43F2"/>
    <w:rsid w:val="00CA4B7D"/>
    <w:rsid w:val="00CA64FB"/>
    <w:rsid w:val="00CA7350"/>
    <w:rsid w:val="00CB0812"/>
    <w:rsid w:val="00CB1633"/>
    <w:rsid w:val="00CB1C43"/>
    <w:rsid w:val="00CB2213"/>
    <w:rsid w:val="00CB422F"/>
    <w:rsid w:val="00CB5238"/>
    <w:rsid w:val="00CB5CBA"/>
    <w:rsid w:val="00CB5EC0"/>
    <w:rsid w:val="00CB6358"/>
    <w:rsid w:val="00CB6C65"/>
    <w:rsid w:val="00CB6EB1"/>
    <w:rsid w:val="00CC2353"/>
    <w:rsid w:val="00CC299C"/>
    <w:rsid w:val="00CC2C32"/>
    <w:rsid w:val="00CC4377"/>
    <w:rsid w:val="00CC5663"/>
    <w:rsid w:val="00CC5891"/>
    <w:rsid w:val="00CC58B1"/>
    <w:rsid w:val="00CC74B6"/>
    <w:rsid w:val="00CC779A"/>
    <w:rsid w:val="00CC78DD"/>
    <w:rsid w:val="00CD0E0F"/>
    <w:rsid w:val="00CD139B"/>
    <w:rsid w:val="00CD1F2F"/>
    <w:rsid w:val="00CD2E16"/>
    <w:rsid w:val="00CD2F82"/>
    <w:rsid w:val="00CD3138"/>
    <w:rsid w:val="00CD3B72"/>
    <w:rsid w:val="00CD5183"/>
    <w:rsid w:val="00CD6FCC"/>
    <w:rsid w:val="00CD7114"/>
    <w:rsid w:val="00CE47EA"/>
    <w:rsid w:val="00CE6A57"/>
    <w:rsid w:val="00CE7BAD"/>
    <w:rsid w:val="00CF1C84"/>
    <w:rsid w:val="00CF2A98"/>
    <w:rsid w:val="00CF3E71"/>
    <w:rsid w:val="00D003D8"/>
    <w:rsid w:val="00D00559"/>
    <w:rsid w:val="00D00F78"/>
    <w:rsid w:val="00D01587"/>
    <w:rsid w:val="00D053C1"/>
    <w:rsid w:val="00D05877"/>
    <w:rsid w:val="00D06C69"/>
    <w:rsid w:val="00D07631"/>
    <w:rsid w:val="00D07C7C"/>
    <w:rsid w:val="00D1244C"/>
    <w:rsid w:val="00D12BA1"/>
    <w:rsid w:val="00D12DC8"/>
    <w:rsid w:val="00D12FEB"/>
    <w:rsid w:val="00D15B19"/>
    <w:rsid w:val="00D20E5B"/>
    <w:rsid w:val="00D20FAB"/>
    <w:rsid w:val="00D21AEB"/>
    <w:rsid w:val="00D21B12"/>
    <w:rsid w:val="00D24529"/>
    <w:rsid w:val="00D2495C"/>
    <w:rsid w:val="00D261B0"/>
    <w:rsid w:val="00D26629"/>
    <w:rsid w:val="00D27176"/>
    <w:rsid w:val="00D273BB"/>
    <w:rsid w:val="00D30AD7"/>
    <w:rsid w:val="00D30F70"/>
    <w:rsid w:val="00D32FC7"/>
    <w:rsid w:val="00D34CF6"/>
    <w:rsid w:val="00D350CE"/>
    <w:rsid w:val="00D354DA"/>
    <w:rsid w:val="00D35960"/>
    <w:rsid w:val="00D35A13"/>
    <w:rsid w:val="00D35F7E"/>
    <w:rsid w:val="00D409F9"/>
    <w:rsid w:val="00D4150D"/>
    <w:rsid w:val="00D41781"/>
    <w:rsid w:val="00D4404A"/>
    <w:rsid w:val="00D44086"/>
    <w:rsid w:val="00D465B1"/>
    <w:rsid w:val="00D500AA"/>
    <w:rsid w:val="00D5102C"/>
    <w:rsid w:val="00D51307"/>
    <w:rsid w:val="00D56559"/>
    <w:rsid w:val="00D60693"/>
    <w:rsid w:val="00D6127E"/>
    <w:rsid w:val="00D631D2"/>
    <w:rsid w:val="00D63A50"/>
    <w:rsid w:val="00D64AE3"/>
    <w:rsid w:val="00D64E11"/>
    <w:rsid w:val="00D64F03"/>
    <w:rsid w:val="00D65FD0"/>
    <w:rsid w:val="00D70445"/>
    <w:rsid w:val="00D73F24"/>
    <w:rsid w:val="00D74B56"/>
    <w:rsid w:val="00D75864"/>
    <w:rsid w:val="00D8402B"/>
    <w:rsid w:val="00D8412C"/>
    <w:rsid w:val="00D846F8"/>
    <w:rsid w:val="00D84D05"/>
    <w:rsid w:val="00D850C8"/>
    <w:rsid w:val="00D852FC"/>
    <w:rsid w:val="00D86A96"/>
    <w:rsid w:val="00D87033"/>
    <w:rsid w:val="00D8770B"/>
    <w:rsid w:val="00D911E1"/>
    <w:rsid w:val="00D92288"/>
    <w:rsid w:val="00D933D8"/>
    <w:rsid w:val="00D94C37"/>
    <w:rsid w:val="00D95A13"/>
    <w:rsid w:val="00D95C97"/>
    <w:rsid w:val="00D96852"/>
    <w:rsid w:val="00DA056C"/>
    <w:rsid w:val="00DA25C3"/>
    <w:rsid w:val="00DA3A59"/>
    <w:rsid w:val="00DA3AB7"/>
    <w:rsid w:val="00DA4037"/>
    <w:rsid w:val="00DA4126"/>
    <w:rsid w:val="00DA4580"/>
    <w:rsid w:val="00DA4DC3"/>
    <w:rsid w:val="00DA7294"/>
    <w:rsid w:val="00DA7936"/>
    <w:rsid w:val="00DA7FF4"/>
    <w:rsid w:val="00DB0E5A"/>
    <w:rsid w:val="00DB1396"/>
    <w:rsid w:val="00DB35B0"/>
    <w:rsid w:val="00DB4B65"/>
    <w:rsid w:val="00DB4B83"/>
    <w:rsid w:val="00DB52E5"/>
    <w:rsid w:val="00DB58DB"/>
    <w:rsid w:val="00DB72EB"/>
    <w:rsid w:val="00DB7522"/>
    <w:rsid w:val="00DC04AA"/>
    <w:rsid w:val="00DC0A3B"/>
    <w:rsid w:val="00DC0C0B"/>
    <w:rsid w:val="00DC1204"/>
    <w:rsid w:val="00DC2A09"/>
    <w:rsid w:val="00DC33A0"/>
    <w:rsid w:val="00DC451B"/>
    <w:rsid w:val="00DC5493"/>
    <w:rsid w:val="00DC763A"/>
    <w:rsid w:val="00DD15AE"/>
    <w:rsid w:val="00DD285B"/>
    <w:rsid w:val="00DD443D"/>
    <w:rsid w:val="00DD4F84"/>
    <w:rsid w:val="00DD5EDA"/>
    <w:rsid w:val="00DD6AE8"/>
    <w:rsid w:val="00DE0917"/>
    <w:rsid w:val="00DE0DA5"/>
    <w:rsid w:val="00DE1254"/>
    <w:rsid w:val="00DE3F0F"/>
    <w:rsid w:val="00DE5105"/>
    <w:rsid w:val="00DE6CBF"/>
    <w:rsid w:val="00DE6F70"/>
    <w:rsid w:val="00DE7C8C"/>
    <w:rsid w:val="00DF0360"/>
    <w:rsid w:val="00DF1249"/>
    <w:rsid w:val="00DF15B3"/>
    <w:rsid w:val="00DF22A6"/>
    <w:rsid w:val="00DF29E2"/>
    <w:rsid w:val="00DF3143"/>
    <w:rsid w:val="00DF3212"/>
    <w:rsid w:val="00DF34FA"/>
    <w:rsid w:val="00DF3BF9"/>
    <w:rsid w:val="00DF54C7"/>
    <w:rsid w:val="00DF79C8"/>
    <w:rsid w:val="00DF7E19"/>
    <w:rsid w:val="00E03257"/>
    <w:rsid w:val="00E04B3A"/>
    <w:rsid w:val="00E0699A"/>
    <w:rsid w:val="00E07625"/>
    <w:rsid w:val="00E14CA9"/>
    <w:rsid w:val="00E161D2"/>
    <w:rsid w:val="00E166E4"/>
    <w:rsid w:val="00E16E65"/>
    <w:rsid w:val="00E179ED"/>
    <w:rsid w:val="00E21C45"/>
    <w:rsid w:val="00E24AE4"/>
    <w:rsid w:val="00E2595F"/>
    <w:rsid w:val="00E269D3"/>
    <w:rsid w:val="00E32D4C"/>
    <w:rsid w:val="00E330B1"/>
    <w:rsid w:val="00E3393C"/>
    <w:rsid w:val="00E35D7D"/>
    <w:rsid w:val="00E3751F"/>
    <w:rsid w:val="00E40D7D"/>
    <w:rsid w:val="00E4140D"/>
    <w:rsid w:val="00E42E9F"/>
    <w:rsid w:val="00E44F0C"/>
    <w:rsid w:val="00E45C75"/>
    <w:rsid w:val="00E47554"/>
    <w:rsid w:val="00E47CB0"/>
    <w:rsid w:val="00E519CE"/>
    <w:rsid w:val="00E5262F"/>
    <w:rsid w:val="00E54F14"/>
    <w:rsid w:val="00E579EE"/>
    <w:rsid w:val="00E61A6A"/>
    <w:rsid w:val="00E635A5"/>
    <w:rsid w:val="00E63B38"/>
    <w:rsid w:val="00E6432A"/>
    <w:rsid w:val="00E656F8"/>
    <w:rsid w:val="00E65E65"/>
    <w:rsid w:val="00E67BAD"/>
    <w:rsid w:val="00E70E08"/>
    <w:rsid w:val="00E71184"/>
    <w:rsid w:val="00E71E08"/>
    <w:rsid w:val="00E72E22"/>
    <w:rsid w:val="00E7387F"/>
    <w:rsid w:val="00E73C55"/>
    <w:rsid w:val="00E756BB"/>
    <w:rsid w:val="00E776FA"/>
    <w:rsid w:val="00E8029F"/>
    <w:rsid w:val="00E80A5F"/>
    <w:rsid w:val="00E80DF5"/>
    <w:rsid w:val="00E81E85"/>
    <w:rsid w:val="00E8394F"/>
    <w:rsid w:val="00E83998"/>
    <w:rsid w:val="00E83AC0"/>
    <w:rsid w:val="00E8543F"/>
    <w:rsid w:val="00E854E7"/>
    <w:rsid w:val="00E85F8F"/>
    <w:rsid w:val="00E9051F"/>
    <w:rsid w:val="00E90CB5"/>
    <w:rsid w:val="00E913EF"/>
    <w:rsid w:val="00E9319B"/>
    <w:rsid w:val="00E93D30"/>
    <w:rsid w:val="00E947BA"/>
    <w:rsid w:val="00E94CAC"/>
    <w:rsid w:val="00E94E17"/>
    <w:rsid w:val="00E95E66"/>
    <w:rsid w:val="00E96EA8"/>
    <w:rsid w:val="00EA0259"/>
    <w:rsid w:val="00EA0FE8"/>
    <w:rsid w:val="00EA3A21"/>
    <w:rsid w:val="00EA3BC2"/>
    <w:rsid w:val="00EA41C2"/>
    <w:rsid w:val="00EA5107"/>
    <w:rsid w:val="00EA5D39"/>
    <w:rsid w:val="00EA78FE"/>
    <w:rsid w:val="00EB22C4"/>
    <w:rsid w:val="00EB30A2"/>
    <w:rsid w:val="00EB3411"/>
    <w:rsid w:val="00EB4FCC"/>
    <w:rsid w:val="00EB504E"/>
    <w:rsid w:val="00EB53F9"/>
    <w:rsid w:val="00EB56C0"/>
    <w:rsid w:val="00EB5ABA"/>
    <w:rsid w:val="00EB6430"/>
    <w:rsid w:val="00EB737D"/>
    <w:rsid w:val="00EC05A6"/>
    <w:rsid w:val="00EC3E3E"/>
    <w:rsid w:val="00EC49F0"/>
    <w:rsid w:val="00EC4CF9"/>
    <w:rsid w:val="00EC69EC"/>
    <w:rsid w:val="00EC7167"/>
    <w:rsid w:val="00ED2B62"/>
    <w:rsid w:val="00ED32B4"/>
    <w:rsid w:val="00ED3383"/>
    <w:rsid w:val="00ED380D"/>
    <w:rsid w:val="00ED3DDF"/>
    <w:rsid w:val="00ED47FD"/>
    <w:rsid w:val="00ED5494"/>
    <w:rsid w:val="00ED6627"/>
    <w:rsid w:val="00ED6B36"/>
    <w:rsid w:val="00ED6B3D"/>
    <w:rsid w:val="00ED7AA4"/>
    <w:rsid w:val="00EE0131"/>
    <w:rsid w:val="00EE111B"/>
    <w:rsid w:val="00EE1FDA"/>
    <w:rsid w:val="00EE2EF2"/>
    <w:rsid w:val="00EE3B2D"/>
    <w:rsid w:val="00EE578B"/>
    <w:rsid w:val="00EF0342"/>
    <w:rsid w:val="00EF0CBE"/>
    <w:rsid w:val="00EF0EE1"/>
    <w:rsid w:val="00EF30E4"/>
    <w:rsid w:val="00EF3538"/>
    <w:rsid w:val="00EF3CE0"/>
    <w:rsid w:val="00EF4A2E"/>
    <w:rsid w:val="00EF4E1A"/>
    <w:rsid w:val="00EF5A5D"/>
    <w:rsid w:val="00EF67E5"/>
    <w:rsid w:val="00EF6D96"/>
    <w:rsid w:val="00EF7656"/>
    <w:rsid w:val="00F0127C"/>
    <w:rsid w:val="00F0158A"/>
    <w:rsid w:val="00F04412"/>
    <w:rsid w:val="00F05874"/>
    <w:rsid w:val="00F06A30"/>
    <w:rsid w:val="00F106A1"/>
    <w:rsid w:val="00F1388F"/>
    <w:rsid w:val="00F14569"/>
    <w:rsid w:val="00F14DEC"/>
    <w:rsid w:val="00F15678"/>
    <w:rsid w:val="00F177F6"/>
    <w:rsid w:val="00F17855"/>
    <w:rsid w:val="00F17AEE"/>
    <w:rsid w:val="00F20596"/>
    <w:rsid w:val="00F237EA"/>
    <w:rsid w:val="00F23F85"/>
    <w:rsid w:val="00F25615"/>
    <w:rsid w:val="00F25BC6"/>
    <w:rsid w:val="00F25E48"/>
    <w:rsid w:val="00F2606A"/>
    <w:rsid w:val="00F27754"/>
    <w:rsid w:val="00F27AD8"/>
    <w:rsid w:val="00F3069E"/>
    <w:rsid w:val="00F30736"/>
    <w:rsid w:val="00F30E88"/>
    <w:rsid w:val="00F3195A"/>
    <w:rsid w:val="00F33A6F"/>
    <w:rsid w:val="00F33CC0"/>
    <w:rsid w:val="00F33E0A"/>
    <w:rsid w:val="00F361E7"/>
    <w:rsid w:val="00F36D8B"/>
    <w:rsid w:val="00F4265A"/>
    <w:rsid w:val="00F42B2A"/>
    <w:rsid w:val="00F42DF1"/>
    <w:rsid w:val="00F434A7"/>
    <w:rsid w:val="00F451DF"/>
    <w:rsid w:val="00F46938"/>
    <w:rsid w:val="00F46B9A"/>
    <w:rsid w:val="00F5119E"/>
    <w:rsid w:val="00F518A1"/>
    <w:rsid w:val="00F52244"/>
    <w:rsid w:val="00F523AA"/>
    <w:rsid w:val="00F526A7"/>
    <w:rsid w:val="00F54D81"/>
    <w:rsid w:val="00F54D8A"/>
    <w:rsid w:val="00F54EF8"/>
    <w:rsid w:val="00F55262"/>
    <w:rsid w:val="00F5570B"/>
    <w:rsid w:val="00F558BA"/>
    <w:rsid w:val="00F56FB7"/>
    <w:rsid w:val="00F603EE"/>
    <w:rsid w:val="00F61B60"/>
    <w:rsid w:val="00F61BA4"/>
    <w:rsid w:val="00F6210F"/>
    <w:rsid w:val="00F62733"/>
    <w:rsid w:val="00F6379C"/>
    <w:rsid w:val="00F6656D"/>
    <w:rsid w:val="00F674F2"/>
    <w:rsid w:val="00F7185A"/>
    <w:rsid w:val="00F71A59"/>
    <w:rsid w:val="00F737BF"/>
    <w:rsid w:val="00F749E2"/>
    <w:rsid w:val="00F75957"/>
    <w:rsid w:val="00F760E8"/>
    <w:rsid w:val="00F7759C"/>
    <w:rsid w:val="00F801C3"/>
    <w:rsid w:val="00F80AED"/>
    <w:rsid w:val="00F82807"/>
    <w:rsid w:val="00F83A01"/>
    <w:rsid w:val="00F83B9F"/>
    <w:rsid w:val="00F8407E"/>
    <w:rsid w:val="00F85CBE"/>
    <w:rsid w:val="00F867F5"/>
    <w:rsid w:val="00F868FB"/>
    <w:rsid w:val="00F8695D"/>
    <w:rsid w:val="00F872A2"/>
    <w:rsid w:val="00F91197"/>
    <w:rsid w:val="00F9151B"/>
    <w:rsid w:val="00F93397"/>
    <w:rsid w:val="00F960FC"/>
    <w:rsid w:val="00F965B5"/>
    <w:rsid w:val="00F96EFD"/>
    <w:rsid w:val="00F97E5F"/>
    <w:rsid w:val="00F97FC8"/>
    <w:rsid w:val="00FA0876"/>
    <w:rsid w:val="00FA104E"/>
    <w:rsid w:val="00FA1674"/>
    <w:rsid w:val="00FA191E"/>
    <w:rsid w:val="00FA2C31"/>
    <w:rsid w:val="00FA64C8"/>
    <w:rsid w:val="00FA6B0E"/>
    <w:rsid w:val="00FA7179"/>
    <w:rsid w:val="00FB20BE"/>
    <w:rsid w:val="00FB3202"/>
    <w:rsid w:val="00FB33A0"/>
    <w:rsid w:val="00FB34BC"/>
    <w:rsid w:val="00FB4A44"/>
    <w:rsid w:val="00FB4D0A"/>
    <w:rsid w:val="00FB5FF3"/>
    <w:rsid w:val="00FB6B53"/>
    <w:rsid w:val="00FB7CE8"/>
    <w:rsid w:val="00FC1BF1"/>
    <w:rsid w:val="00FC1CDC"/>
    <w:rsid w:val="00FC276B"/>
    <w:rsid w:val="00FC306F"/>
    <w:rsid w:val="00FC6246"/>
    <w:rsid w:val="00FC6BA4"/>
    <w:rsid w:val="00FC6F2B"/>
    <w:rsid w:val="00FD06BC"/>
    <w:rsid w:val="00FD2CAA"/>
    <w:rsid w:val="00FD31A9"/>
    <w:rsid w:val="00FD4464"/>
    <w:rsid w:val="00FD63A0"/>
    <w:rsid w:val="00FD7BE4"/>
    <w:rsid w:val="00FE2862"/>
    <w:rsid w:val="00FE4897"/>
    <w:rsid w:val="00FE672A"/>
    <w:rsid w:val="00FE69E8"/>
    <w:rsid w:val="00FE6A1D"/>
    <w:rsid w:val="00FF1B79"/>
    <w:rsid w:val="00FF2ED1"/>
    <w:rsid w:val="00FF493D"/>
    <w:rsid w:val="00FF49A2"/>
    <w:rsid w:val="00FF4A55"/>
    <w:rsid w:val="00FF51F0"/>
    <w:rsid w:val="00FF5409"/>
    <w:rsid w:val="00FF5E7F"/>
    <w:rsid w:val="010A546F"/>
    <w:rsid w:val="014B122C"/>
    <w:rsid w:val="014E3217"/>
    <w:rsid w:val="01643E62"/>
    <w:rsid w:val="016A1833"/>
    <w:rsid w:val="018B652A"/>
    <w:rsid w:val="018F60F4"/>
    <w:rsid w:val="019C5B9A"/>
    <w:rsid w:val="01A3652F"/>
    <w:rsid w:val="01A80653"/>
    <w:rsid w:val="01BF441A"/>
    <w:rsid w:val="01CA68D1"/>
    <w:rsid w:val="01CE2C02"/>
    <w:rsid w:val="01D4091F"/>
    <w:rsid w:val="01D74EF5"/>
    <w:rsid w:val="01F154B6"/>
    <w:rsid w:val="01F421BF"/>
    <w:rsid w:val="01FE1E07"/>
    <w:rsid w:val="0217481A"/>
    <w:rsid w:val="02336C98"/>
    <w:rsid w:val="023E2326"/>
    <w:rsid w:val="024E7629"/>
    <w:rsid w:val="024F239B"/>
    <w:rsid w:val="027368CC"/>
    <w:rsid w:val="02857882"/>
    <w:rsid w:val="028B7EE7"/>
    <w:rsid w:val="028F2C07"/>
    <w:rsid w:val="029B70ED"/>
    <w:rsid w:val="02A33459"/>
    <w:rsid w:val="02AE572C"/>
    <w:rsid w:val="02E57F01"/>
    <w:rsid w:val="03094215"/>
    <w:rsid w:val="03121FC9"/>
    <w:rsid w:val="031F0A8D"/>
    <w:rsid w:val="033165DB"/>
    <w:rsid w:val="033A3925"/>
    <w:rsid w:val="0342197B"/>
    <w:rsid w:val="036C6026"/>
    <w:rsid w:val="036D1950"/>
    <w:rsid w:val="037052B0"/>
    <w:rsid w:val="03862F3F"/>
    <w:rsid w:val="038F343F"/>
    <w:rsid w:val="039A530C"/>
    <w:rsid w:val="03A4413B"/>
    <w:rsid w:val="03BB1804"/>
    <w:rsid w:val="03E83202"/>
    <w:rsid w:val="0433074D"/>
    <w:rsid w:val="04383C6C"/>
    <w:rsid w:val="0455307B"/>
    <w:rsid w:val="046E7F83"/>
    <w:rsid w:val="04712AC2"/>
    <w:rsid w:val="0493340D"/>
    <w:rsid w:val="04B83C9B"/>
    <w:rsid w:val="04DF3775"/>
    <w:rsid w:val="04E478DF"/>
    <w:rsid w:val="04F0190D"/>
    <w:rsid w:val="052F580A"/>
    <w:rsid w:val="0542345E"/>
    <w:rsid w:val="055822D7"/>
    <w:rsid w:val="05807F5F"/>
    <w:rsid w:val="05873709"/>
    <w:rsid w:val="05883423"/>
    <w:rsid w:val="058D2AD0"/>
    <w:rsid w:val="059C55B0"/>
    <w:rsid w:val="05BC13D9"/>
    <w:rsid w:val="05C41661"/>
    <w:rsid w:val="05DA6E73"/>
    <w:rsid w:val="05F75111"/>
    <w:rsid w:val="05FE2BB1"/>
    <w:rsid w:val="06053552"/>
    <w:rsid w:val="06121FAC"/>
    <w:rsid w:val="06172D8C"/>
    <w:rsid w:val="06202007"/>
    <w:rsid w:val="06205A6C"/>
    <w:rsid w:val="06422237"/>
    <w:rsid w:val="06507DE7"/>
    <w:rsid w:val="0659596E"/>
    <w:rsid w:val="06905412"/>
    <w:rsid w:val="069742FE"/>
    <w:rsid w:val="06C11EA4"/>
    <w:rsid w:val="06D41405"/>
    <w:rsid w:val="06DA59EF"/>
    <w:rsid w:val="06ED2C44"/>
    <w:rsid w:val="06FF22CF"/>
    <w:rsid w:val="070F0C8A"/>
    <w:rsid w:val="071346E6"/>
    <w:rsid w:val="071F1AC6"/>
    <w:rsid w:val="07204BF2"/>
    <w:rsid w:val="072C3165"/>
    <w:rsid w:val="07384258"/>
    <w:rsid w:val="073F79F9"/>
    <w:rsid w:val="07563C77"/>
    <w:rsid w:val="07AE7F9D"/>
    <w:rsid w:val="07C20C3E"/>
    <w:rsid w:val="07C70D93"/>
    <w:rsid w:val="07CF57C8"/>
    <w:rsid w:val="07E84893"/>
    <w:rsid w:val="07EB6552"/>
    <w:rsid w:val="07EE5B9E"/>
    <w:rsid w:val="07FB584D"/>
    <w:rsid w:val="08101BCA"/>
    <w:rsid w:val="083A6CDB"/>
    <w:rsid w:val="08460DEB"/>
    <w:rsid w:val="08516AED"/>
    <w:rsid w:val="0862783B"/>
    <w:rsid w:val="08633F9B"/>
    <w:rsid w:val="08691018"/>
    <w:rsid w:val="089D0A54"/>
    <w:rsid w:val="08A246EE"/>
    <w:rsid w:val="08BE6A18"/>
    <w:rsid w:val="08CE4D49"/>
    <w:rsid w:val="08E1513F"/>
    <w:rsid w:val="08E77D53"/>
    <w:rsid w:val="08EA4A20"/>
    <w:rsid w:val="08EC1BF9"/>
    <w:rsid w:val="08F562ED"/>
    <w:rsid w:val="09207575"/>
    <w:rsid w:val="092E10A5"/>
    <w:rsid w:val="09385D6A"/>
    <w:rsid w:val="093A0E86"/>
    <w:rsid w:val="094C7B0A"/>
    <w:rsid w:val="094D1AD3"/>
    <w:rsid w:val="094F2F21"/>
    <w:rsid w:val="095B4DCC"/>
    <w:rsid w:val="0960407B"/>
    <w:rsid w:val="096F115A"/>
    <w:rsid w:val="097048F0"/>
    <w:rsid w:val="09A25F85"/>
    <w:rsid w:val="09A437A1"/>
    <w:rsid w:val="09A821A5"/>
    <w:rsid w:val="09A94879"/>
    <w:rsid w:val="09AF2A00"/>
    <w:rsid w:val="09B16B67"/>
    <w:rsid w:val="09B84420"/>
    <w:rsid w:val="09DA3E77"/>
    <w:rsid w:val="09F8642E"/>
    <w:rsid w:val="0A10614E"/>
    <w:rsid w:val="0A17578D"/>
    <w:rsid w:val="0A220B0C"/>
    <w:rsid w:val="0A264EAE"/>
    <w:rsid w:val="0A43700F"/>
    <w:rsid w:val="0A52430B"/>
    <w:rsid w:val="0A642FAC"/>
    <w:rsid w:val="0A6A3A13"/>
    <w:rsid w:val="0A853D30"/>
    <w:rsid w:val="0A9E30AB"/>
    <w:rsid w:val="0AB90C62"/>
    <w:rsid w:val="0AE91041"/>
    <w:rsid w:val="0AED3E73"/>
    <w:rsid w:val="0AF65335"/>
    <w:rsid w:val="0B375398"/>
    <w:rsid w:val="0B4A41E3"/>
    <w:rsid w:val="0B4A4856"/>
    <w:rsid w:val="0B7937A7"/>
    <w:rsid w:val="0B7C4E88"/>
    <w:rsid w:val="0B8C7C26"/>
    <w:rsid w:val="0B8F21FB"/>
    <w:rsid w:val="0B9E6BE7"/>
    <w:rsid w:val="0BA31052"/>
    <w:rsid w:val="0BB83758"/>
    <w:rsid w:val="0BCC2221"/>
    <w:rsid w:val="0BEE20C6"/>
    <w:rsid w:val="0C0405A6"/>
    <w:rsid w:val="0C27494C"/>
    <w:rsid w:val="0C372C7A"/>
    <w:rsid w:val="0C776354"/>
    <w:rsid w:val="0C7B5A24"/>
    <w:rsid w:val="0CAB335C"/>
    <w:rsid w:val="0CBA2470"/>
    <w:rsid w:val="0CCF3487"/>
    <w:rsid w:val="0CDC6D8D"/>
    <w:rsid w:val="0CEF00D1"/>
    <w:rsid w:val="0CEF72B7"/>
    <w:rsid w:val="0CF84B1E"/>
    <w:rsid w:val="0D0C5DAE"/>
    <w:rsid w:val="0D826133"/>
    <w:rsid w:val="0D885897"/>
    <w:rsid w:val="0D972EBC"/>
    <w:rsid w:val="0DA23B73"/>
    <w:rsid w:val="0DA24B25"/>
    <w:rsid w:val="0DB7589E"/>
    <w:rsid w:val="0DBB1429"/>
    <w:rsid w:val="0DC52712"/>
    <w:rsid w:val="0DE3727A"/>
    <w:rsid w:val="0DEF5358"/>
    <w:rsid w:val="0DFC01E8"/>
    <w:rsid w:val="0E2B0A19"/>
    <w:rsid w:val="0E3D10DB"/>
    <w:rsid w:val="0E3F73EC"/>
    <w:rsid w:val="0E573C55"/>
    <w:rsid w:val="0E6D4A87"/>
    <w:rsid w:val="0E6F52AE"/>
    <w:rsid w:val="0E9F6DE4"/>
    <w:rsid w:val="0EA06DDF"/>
    <w:rsid w:val="0EA8214C"/>
    <w:rsid w:val="0EAA4F4D"/>
    <w:rsid w:val="0EB12F79"/>
    <w:rsid w:val="0EDA2D12"/>
    <w:rsid w:val="0EDF4BDD"/>
    <w:rsid w:val="0EE276ED"/>
    <w:rsid w:val="0EFC6F73"/>
    <w:rsid w:val="0EFE7211"/>
    <w:rsid w:val="0F0D3C8E"/>
    <w:rsid w:val="0F0E1AF6"/>
    <w:rsid w:val="0F2204ED"/>
    <w:rsid w:val="0F2C42AB"/>
    <w:rsid w:val="0F447567"/>
    <w:rsid w:val="0F646F0A"/>
    <w:rsid w:val="0F6A76FF"/>
    <w:rsid w:val="0F820464"/>
    <w:rsid w:val="0F8C496E"/>
    <w:rsid w:val="0F967C0C"/>
    <w:rsid w:val="0FAC51B8"/>
    <w:rsid w:val="0FAD0A57"/>
    <w:rsid w:val="0FBF50AB"/>
    <w:rsid w:val="0FC51564"/>
    <w:rsid w:val="0FD925B4"/>
    <w:rsid w:val="0FDB1A80"/>
    <w:rsid w:val="0FE93ED0"/>
    <w:rsid w:val="100303D4"/>
    <w:rsid w:val="10066591"/>
    <w:rsid w:val="10255FE8"/>
    <w:rsid w:val="102B3B31"/>
    <w:rsid w:val="10462402"/>
    <w:rsid w:val="104D4DAF"/>
    <w:rsid w:val="106B52F1"/>
    <w:rsid w:val="109040C3"/>
    <w:rsid w:val="10A02EA2"/>
    <w:rsid w:val="10A3519D"/>
    <w:rsid w:val="10AF7720"/>
    <w:rsid w:val="10B36072"/>
    <w:rsid w:val="10C80AEC"/>
    <w:rsid w:val="10E10187"/>
    <w:rsid w:val="10E90DB3"/>
    <w:rsid w:val="10F379B2"/>
    <w:rsid w:val="10F75B32"/>
    <w:rsid w:val="11027435"/>
    <w:rsid w:val="111174EF"/>
    <w:rsid w:val="11366A03"/>
    <w:rsid w:val="1162266E"/>
    <w:rsid w:val="1169100C"/>
    <w:rsid w:val="11820E64"/>
    <w:rsid w:val="1190778E"/>
    <w:rsid w:val="11A10238"/>
    <w:rsid w:val="11AF34FB"/>
    <w:rsid w:val="11BC0666"/>
    <w:rsid w:val="11D14DBA"/>
    <w:rsid w:val="11DD785F"/>
    <w:rsid w:val="11E37244"/>
    <w:rsid w:val="121257DD"/>
    <w:rsid w:val="121276CE"/>
    <w:rsid w:val="121E4DC4"/>
    <w:rsid w:val="121E5480"/>
    <w:rsid w:val="12351098"/>
    <w:rsid w:val="1244162B"/>
    <w:rsid w:val="12624FBF"/>
    <w:rsid w:val="12733707"/>
    <w:rsid w:val="12775D25"/>
    <w:rsid w:val="128F66D1"/>
    <w:rsid w:val="12A67E73"/>
    <w:rsid w:val="12B02B16"/>
    <w:rsid w:val="12B0495A"/>
    <w:rsid w:val="12C46D34"/>
    <w:rsid w:val="12D81CE1"/>
    <w:rsid w:val="12DA0AF1"/>
    <w:rsid w:val="12DA53C6"/>
    <w:rsid w:val="1300085C"/>
    <w:rsid w:val="13052B83"/>
    <w:rsid w:val="13151285"/>
    <w:rsid w:val="13261D34"/>
    <w:rsid w:val="132E3207"/>
    <w:rsid w:val="1337723E"/>
    <w:rsid w:val="13411A28"/>
    <w:rsid w:val="135E766E"/>
    <w:rsid w:val="13724173"/>
    <w:rsid w:val="137B20DE"/>
    <w:rsid w:val="138C45E8"/>
    <w:rsid w:val="138E6DC2"/>
    <w:rsid w:val="138F2B17"/>
    <w:rsid w:val="138F6C95"/>
    <w:rsid w:val="13C70D9C"/>
    <w:rsid w:val="13EA730F"/>
    <w:rsid w:val="13EA78C4"/>
    <w:rsid w:val="140A06FD"/>
    <w:rsid w:val="141A0EA9"/>
    <w:rsid w:val="143C0C6B"/>
    <w:rsid w:val="144202F1"/>
    <w:rsid w:val="14583B9C"/>
    <w:rsid w:val="149D2E45"/>
    <w:rsid w:val="14A76118"/>
    <w:rsid w:val="14A874D3"/>
    <w:rsid w:val="14AB253F"/>
    <w:rsid w:val="14AF4D3B"/>
    <w:rsid w:val="14B17478"/>
    <w:rsid w:val="14FE7754"/>
    <w:rsid w:val="15053F0D"/>
    <w:rsid w:val="151410B8"/>
    <w:rsid w:val="15176520"/>
    <w:rsid w:val="15440686"/>
    <w:rsid w:val="158D43C8"/>
    <w:rsid w:val="158F39D4"/>
    <w:rsid w:val="15A454D1"/>
    <w:rsid w:val="15A76508"/>
    <w:rsid w:val="15B45A62"/>
    <w:rsid w:val="15C42D85"/>
    <w:rsid w:val="15CB1636"/>
    <w:rsid w:val="15CC4A1B"/>
    <w:rsid w:val="15D209B5"/>
    <w:rsid w:val="15D846FE"/>
    <w:rsid w:val="15D95F05"/>
    <w:rsid w:val="15F13705"/>
    <w:rsid w:val="15F703CA"/>
    <w:rsid w:val="15FB16BF"/>
    <w:rsid w:val="160B0B19"/>
    <w:rsid w:val="161A55E3"/>
    <w:rsid w:val="161D6FD5"/>
    <w:rsid w:val="1622719B"/>
    <w:rsid w:val="163B1E9C"/>
    <w:rsid w:val="164C400B"/>
    <w:rsid w:val="16540733"/>
    <w:rsid w:val="165740B9"/>
    <w:rsid w:val="16575022"/>
    <w:rsid w:val="16673A15"/>
    <w:rsid w:val="167A14FE"/>
    <w:rsid w:val="167F0CA6"/>
    <w:rsid w:val="16A04ACE"/>
    <w:rsid w:val="16BD370C"/>
    <w:rsid w:val="16C57F39"/>
    <w:rsid w:val="16D0646A"/>
    <w:rsid w:val="16E22EAF"/>
    <w:rsid w:val="16E82914"/>
    <w:rsid w:val="16F8083B"/>
    <w:rsid w:val="16F83FEA"/>
    <w:rsid w:val="17194CA5"/>
    <w:rsid w:val="1722643D"/>
    <w:rsid w:val="17246E5C"/>
    <w:rsid w:val="173D701E"/>
    <w:rsid w:val="174647FC"/>
    <w:rsid w:val="17733A96"/>
    <w:rsid w:val="1799412B"/>
    <w:rsid w:val="17A058F8"/>
    <w:rsid w:val="17B0075C"/>
    <w:rsid w:val="17B62431"/>
    <w:rsid w:val="17C238B0"/>
    <w:rsid w:val="17D17AA7"/>
    <w:rsid w:val="17F238F9"/>
    <w:rsid w:val="17FB3A14"/>
    <w:rsid w:val="1805011E"/>
    <w:rsid w:val="18165E07"/>
    <w:rsid w:val="1819029A"/>
    <w:rsid w:val="181D2F78"/>
    <w:rsid w:val="18252762"/>
    <w:rsid w:val="182756F9"/>
    <w:rsid w:val="18340990"/>
    <w:rsid w:val="183C5635"/>
    <w:rsid w:val="184C71CB"/>
    <w:rsid w:val="184D74B9"/>
    <w:rsid w:val="184F3139"/>
    <w:rsid w:val="18525B58"/>
    <w:rsid w:val="1887299B"/>
    <w:rsid w:val="18D24E5E"/>
    <w:rsid w:val="18F17EED"/>
    <w:rsid w:val="1908557A"/>
    <w:rsid w:val="19206A12"/>
    <w:rsid w:val="19217F0F"/>
    <w:rsid w:val="19271122"/>
    <w:rsid w:val="1958767D"/>
    <w:rsid w:val="197321EB"/>
    <w:rsid w:val="19B81BEE"/>
    <w:rsid w:val="19BF23DD"/>
    <w:rsid w:val="19E637E0"/>
    <w:rsid w:val="19F90E48"/>
    <w:rsid w:val="19FF4136"/>
    <w:rsid w:val="1A072582"/>
    <w:rsid w:val="1A0752DB"/>
    <w:rsid w:val="1A0F1EB4"/>
    <w:rsid w:val="1A245B3E"/>
    <w:rsid w:val="1A315B08"/>
    <w:rsid w:val="1A630D30"/>
    <w:rsid w:val="1A6555BA"/>
    <w:rsid w:val="1A69643D"/>
    <w:rsid w:val="1A8809CA"/>
    <w:rsid w:val="1A8E17D7"/>
    <w:rsid w:val="1A9A3CA5"/>
    <w:rsid w:val="1A9A4FBA"/>
    <w:rsid w:val="1ABA7B74"/>
    <w:rsid w:val="1ACE6CA7"/>
    <w:rsid w:val="1ADA510D"/>
    <w:rsid w:val="1AEC12FD"/>
    <w:rsid w:val="1AF97B1C"/>
    <w:rsid w:val="1B236E91"/>
    <w:rsid w:val="1B252D32"/>
    <w:rsid w:val="1B26219F"/>
    <w:rsid w:val="1B266D70"/>
    <w:rsid w:val="1B4C155E"/>
    <w:rsid w:val="1B4F5249"/>
    <w:rsid w:val="1B551A2A"/>
    <w:rsid w:val="1B6A3D4F"/>
    <w:rsid w:val="1B810F2C"/>
    <w:rsid w:val="1B9D5017"/>
    <w:rsid w:val="1B9E556E"/>
    <w:rsid w:val="1B9F6C57"/>
    <w:rsid w:val="1BB8552E"/>
    <w:rsid w:val="1BC110C7"/>
    <w:rsid w:val="1BC111AC"/>
    <w:rsid w:val="1BC22531"/>
    <w:rsid w:val="1BCC446A"/>
    <w:rsid w:val="1BFE2981"/>
    <w:rsid w:val="1C071FF8"/>
    <w:rsid w:val="1C074B1E"/>
    <w:rsid w:val="1C124ABF"/>
    <w:rsid w:val="1C271965"/>
    <w:rsid w:val="1C4A572B"/>
    <w:rsid w:val="1C50504A"/>
    <w:rsid w:val="1C664220"/>
    <w:rsid w:val="1C6E1E96"/>
    <w:rsid w:val="1C79671E"/>
    <w:rsid w:val="1C824485"/>
    <w:rsid w:val="1C914FBB"/>
    <w:rsid w:val="1CA17F4A"/>
    <w:rsid w:val="1CA5617A"/>
    <w:rsid w:val="1D03206B"/>
    <w:rsid w:val="1D0439F5"/>
    <w:rsid w:val="1D0D0E1E"/>
    <w:rsid w:val="1D3606EB"/>
    <w:rsid w:val="1D5F72C9"/>
    <w:rsid w:val="1D7C0CB2"/>
    <w:rsid w:val="1DC34D97"/>
    <w:rsid w:val="1DCA3BC7"/>
    <w:rsid w:val="1DD25C43"/>
    <w:rsid w:val="1DD331C6"/>
    <w:rsid w:val="1DE31F0E"/>
    <w:rsid w:val="1DEA54CB"/>
    <w:rsid w:val="1E2B434F"/>
    <w:rsid w:val="1E42369F"/>
    <w:rsid w:val="1E457B8A"/>
    <w:rsid w:val="1E4A72CB"/>
    <w:rsid w:val="1E4D3D06"/>
    <w:rsid w:val="1E5502CE"/>
    <w:rsid w:val="1E550802"/>
    <w:rsid w:val="1E637317"/>
    <w:rsid w:val="1E752B3B"/>
    <w:rsid w:val="1E817446"/>
    <w:rsid w:val="1E954B2B"/>
    <w:rsid w:val="1EA32316"/>
    <w:rsid w:val="1EB82E4D"/>
    <w:rsid w:val="1ED07EDF"/>
    <w:rsid w:val="1ED163B3"/>
    <w:rsid w:val="1EE76601"/>
    <w:rsid w:val="1EF60B2D"/>
    <w:rsid w:val="1EF72BB8"/>
    <w:rsid w:val="1F007832"/>
    <w:rsid w:val="1F012AFA"/>
    <w:rsid w:val="1F071D92"/>
    <w:rsid w:val="1F0F2AA6"/>
    <w:rsid w:val="1F1807E0"/>
    <w:rsid w:val="1F4B297B"/>
    <w:rsid w:val="1F616EC8"/>
    <w:rsid w:val="1F6D4DD1"/>
    <w:rsid w:val="1F7040BA"/>
    <w:rsid w:val="1F8F5AB4"/>
    <w:rsid w:val="1FA52A3A"/>
    <w:rsid w:val="1FB13915"/>
    <w:rsid w:val="1FBB4F39"/>
    <w:rsid w:val="1FC57046"/>
    <w:rsid w:val="1FDC3231"/>
    <w:rsid w:val="1FDE1D8B"/>
    <w:rsid w:val="1FEA47D4"/>
    <w:rsid w:val="1FF338CA"/>
    <w:rsid w:val="1FFF3AD1"/>
    <w:rsid w:val="20201F8B"/>
    <w:rsid w:val="202D2F52"/>
    <w:rsid w:val="20303983"/>
    <w:rsid w:val="203402E9"/>
    <w:rsid w:val="20474C86"/>
    <w:rsid w:val="204A3986"/>
    <w:rsid w:val="204F5E22"/>
    <w:rsid w:val="20656CFB"/>
    <w:rsid w:val="206718A1"/>
    <w:rsid w:val="208B4ECB"/>
    <w:rsid w:val="20911321"/>
    <w:rsid w:val="20A67EF2"/>
    <w:rsid w:val="20B53B06"/>
    <w:rsid w:val="20C1685E"/>
    <w:rsid w:val="20C50AA3"/>
    <w:rsid w:val="20CB5C53"/>
    <w:rsid w:val="20D17AE7"/>
    <w:rsid w:val="20F93997"/>
    <w:rsid w:val="210D3E06"/>
    <w:rsid w:val="211F10FD"/>
    <w:rsid w:val="2135322C"/>
    <w:rsid w:val="213F3695"/>
    <w:rsid w:val="214F0256"/>
    <w:rsid w:val="2151107F"/>
    <w:rsid w:val="215A7B7C"/>
    <w:rsid w:val="2167703D"/>
    <w:rsid w:val="217626DF"/>
    <w:rsid w:val="21AE27EC"/>
    <w:rsid w:val="21B062EB"/>
    <w:rsid w:val="21BF3A27"/>
    <w:rsid w:val="21C12016"/>
    <w:rsid w:val="21C35934"/>
    <w:rsid w:val="21CB7F13"/>
    <w:rsid w:val="21E03B64"/>
    <w:rsid w:val="21E8196A"/>
    <w:rsid w:val="21F16238"/>
    <w:rsid w:val="21FC7E5C"/>
    <w:rsid w:val="220358D2"/>
    <w:rsid w:val="220403EA"/>
    <w:rsid w:val="22083177"/>
    <w:rsid w:val="22103503"/>
    <w:rsid w:val="221F7FD4"/>
    <w:rsid w:val="22444C5B"/>
    <w:rsid w:val="22530A4A"/>
    <w:rsid w:val="22726035"/>
    <w:rsid w:val="22754B28"/>
    <w:rsid w:val="22947C8D"/>
    <w:rsid w:val="229B1EAF"/>
    <w:rsid w:val="229F37BF"/>
    <w:rsid w:val="22A421E3"/>
    <w:rsid w:val="22C332F2"/>
    <w:rsid w:val="22D75E00"/>
    <w:rsid w:val="22DE1C2B"/>
    <w:rsid w:val="22EC7758"/>
    <w:rsid w:val="22F53D39"/>
    <w:rsid w:val="23070A41"/>
    <w:rsid w:val="233053E8"/>
    <w:rsid w:val="233377B1"/>
    <w:rsid w:val="23410657"/>
    <w:rsid w:val="238C2041"/>
    <w:rsid w:val="23935570"/>
    <w:rsid w:val="23A43404"/>
    <w:rsid w:val="23B9223F"/>
    <w:rsid w:val="23C053C5"/>
    <w:rsid w:val="23E25F4E"/>
    <w:rsid w:val="23E6583B"/>
    <w:rsid w:val="23EA3263"/>
    <w:rsid w:val="23FE6AAA"/>
    <w:rsid w:val="240F4A14"/>
    <w:rsid w:val="24186755"/>
    <w:rsid w:val="244049C3"/>
    <w:rsid w:val="2441220F"/>
    <w:rsid w:val="245C12F3"/>
    <w:rsid w:val="24720CDF"/>
    <w:rsid w:val="247A0477"/>
    <w:rsid w:val="248525DA"/>
    <w:rsid w:val="24897B1D"/>
    <w:rsid w:val="249C35E3"/>
    <w:rsid w:val="249F2913"/>
    <w:rsid w:val="24AF3BE5"/>
    <w:rsid w:val="24C8166E"/>
    <w:rsid w:val="24C979E0"/>
    <w:rsid w:val="24ED623F"/>
    <w:rsid w:val="24F87727"/>
    <w:rsid w:val="250A13B0"/>
    <w:rsid w:val="25155ED4"/>
    <w:rsid w:val="25642FC3"/>
    <w:rsid w:val="25705934"/>
    <w:rsid w:val="259E3715"/>
    <w:rsid w:val="25A27E06"/>
    <w:rsid w:val="25AC0E70"/>
    <w:rsid w:val="25B16D5A"/>
    <w:rsid w:val="25B6555B"/>
    <w:rsid w:val="25D11C18"/>
    <w:rsid w:val="25DD7629"/>
    <w:rsid w:val="25F232F5"/>
    <w:rsid w:val="260B4144"/>
    <w:rsid w:val="263A1A08"/>
    <w:rsid w:val="264B6307"/>
    <w:rsid w:val="264B7240"/>
    <w:rsid w:val="265A6EFD"/>
    <w:rsid w:val="26A72FCD"/>
    <w:rsid w:val="26B5646D"/>
    <w:rsid w:val="26BA4338"/>
    <w:rsid w:val="26CD2123"/>
    <w:rsid w:val="26D074E9"/>
    <w:rsid w:val="26E60285"/>
    <w:rsid w:val="26F05233"/>
    <w:rsid w:val="26F8035B"/>
    <w:rsid w:val="26FF4E36"/>
    <w:rsid w:val="271E0E98"/>
    <w:rsid w:val="27692068"/>
    <w:rsid w:val="27720A38"/>
    <w:rsid w:val="278E0F1D"/>
    <w:rsid w:val="27986B2C"/>
    <w:rsid w:val="279C58B7"/>
    <w:rsid w:val="27A73335"/>
    <w:rsid w:val="27BE57E5"/>
    <w:rsid w:val="27C4432F"/>
    <w:rsid w:val="27C733FB"/>
    <w:rsid w:val="27CC667B"/>
    <w:rsid w:val="27D16B9E"/>
    <w:rsid w:val="27DE1D33"/>
    <w:rsid w:val="27E21561"/>
    <w:rsid w:val="280B58E1"/>
    <w:rsid w:val="281E7901"/>
    <w:rsid w:val="283162FB"/>
    <w:rsid w:val="283A50A6"/>
    <w:rsid w:val="284346F8"/>
    <w:rsid w:val="285067A6"/>
    <w:rsid w:val="285F19C6"/>
    <w:rsid w:val="286D17A2"/>
    <w:rsid w:val="2892703B"/>
    <w:rsid w:val="28986D4A"/>
    <w:rsid w:val="28A04917"/>
    <w:rsid w:val="28A37094"/>
    <w:rsid w:val="28B22A22"/>
    <w:rsid w:val="28B31EB8"/>
    <w:rsid w:val="28C45DC0"/>
    <w:rsid w:val="28C93E2D"/>
    <w:rsid w:val="28D831F2"/>
    <w:rsid w:val="2908024C"/>
    <w:rsid w:val="29105078"/>
    <w:rsid w:val="2920471B"/>
    <w:rsid w:val="29262F3C"/>
    <w:rsid w:val="294C20A1"/>
    <w:rsid w:val="2964376A"/>
    <w:rsid w:val="29722A15"/>
    <w:rsid w:val="29856787"/>
    <w:rsid w:val="29A903ED"/>
    <w:rsid w:val="29AF6FB7"/>
    <w:rsid w:val="29BC5AB2"/>
    <w:rsid w:val="29C4260E"/>
    <w:rsid w:val="29D05BBC"/>
    <w:rsid w:val="29D67263"/>
    <w:rsid w:val="29E66D13"/>
    <w:rsid w:val="2A0F7585"/>
    <w:rsid w:val="2A1A3404"/>
    <w:rsid w:val="2A2B13C8"/>
    <w:rsid w:val="2A2F6918"/>
    <w:rsid w:val="2A384665"/>
    <w:rsid w:val="2A4977FE"/>
    <w:rsid w:val="2A4C2EA6"/>
    <w:rsid w:val="2A5125CB"/>
    <w:rsid w:val="2A6102D1"/>
    <w:rsid w:val="2A6A2A34"/>
    <w:rsid w:val="2A7866E5"/>
    <w:rsid w:val="2A7876B9"/>
    <w:rsid w:val="2AA933F2"/>
    <w:rsid w:val="2AC223F2"/>
    <w:rsid w:val="2AE15080"/>
    <w:rsid w:val="2AE3357A"/>
    <w:rsid w:val="2AFB341A"/>
    <w:rsid w:val="2B052650"/>
    <w:rsid w:val="2B0A25B2"/>
    <w:rsid w:val="2B0D2E36"/>
    <w:rsid w:val="2B2F4761"/>
    <w:rsid w:val="2B313059"/>
    <w:rsid w:val="2B3E4011"/>
    <w:rsid w:val="2B8B77E5"/>
    <w:rsid w:val="2BA407EC"/>
    <w:rsid w:val="2BB96CB9"/>
    <w:rsid w:val="2BC5407A"/>
    <w:rsid w:val="2BCA6D4A"/>
    <w:rsid w:val="2BD07A78"/>
    <w:rsid w:val="2BEA5626"/>
    <w:rsid w:val="2BEF7FFF"/>
    <w:rsid w:val="2C0E0176"/>
    <w:rsid w:val="2C425F0F"/>
    <w:rsid w:val="2C555F80"/>
    <w:rsid w:val="2C6131CF"/>
    <w:rsid w:val="2C7319E0"/>
    <w:rsid w:val="2C775F8C"/>
    <w:rsid w:val="2C7952AA"/>
    <w:rsid w:val="2C973218"/>
    <w:rsid w:val="2CAB34D0"/>
    <w:rsid w:val="2CDC55EF"/>
    <w:rsid w:val="2CF5636D"/>
    <w:rsid w:val="2D083D35"/>
    <w:rsid w:val="2D2F082A"/>
    <w:rsid w:val="2D353328"/>
    <w:rsid w:val="2D386BF1"/>
    <w:rsid w:val="2D5C7650"/>
    <w:rsid w:val="2D801DAD"/>
    <w:rsid w:val="2D9241A5"/>
    <w:rsid w:val="2DA3618A"/>
    <w:rsid w:val="2DAE0A99"/>
    <w:rsid w:val="2DAF0714"/>
    <w:rsid w:val="2DCC3073"/>
    <w:rsid w:val="2DCE7635"/>
    <w:rsid w:val="2DD00D87"/>
    <w:rsid w:val="2E2072BA"/>
    <w:rsid w:val="2E566380"/>
    <w:rsid w:val="2E6363CE"/>
    <w:rsid w:val="2E6D27BA"/>
    <w:rsid w:val="2E777AAC"/>
    <w:rsid w:val="2E982DB7"/>
    <w:rsid w:val="2E994D6F"/>
    <w:rsid w:val="2EA401DB"/>
    <w:rsid w:val="2EB76A22"/>
    <w:rsid w:val="2EC03691"/>
    <w:rsid w:val="2EC26CCE"/>
    <w:rsid w:val="2ED75723"/>
    <w:rsid w:val="2EDD5C2F"/>
    <w:rsid w:val="2EE06C00"/>
    <w:rsid w:val="2EF41297"/>
    <w:rsid w:val="2F082CAA"/>
    <w:rsid w:val="2F111A05"/>
    <w:rsid w:val="2F116C22"/>
    <w:rsid w:val="2F1B15E3"/>
    <w:rsid w:val="2F3C69B9"/>
    <w:rsid w:val="2F473A98"/>
    <w:rsid w:val="2F6201FD"/>
    <w:rsid w:val="2F6A350A"/>
    <w:rsid w:val="2F8D3604"/>
    <w:rsid w:val="2F9140E1"/>
    <w:rsid w:val="2F924239"/>
    <w:rsid w:val="2F953977"/>
    <w:rsid w:val="2FAC0D80"/>
    <w:rsid w:val="2FC71B15"/>
    <w:rsid w:val="2FC9713A"/>
    <w:rsid w:val="2FE33F67"/>
    <w:rsid w:val="2FE6006B"/>
    <w:rsid w:val="2FE72202"/>
    <w:rsid w:val="2FF16660"/>
    <w:rsid w:val="300A53B0"/>
    <w:rsid w:val="303F21CD"/>
    <w:rsid w:val="30586511"/>
    <w:rsid w:val="305A452C"/>
    <w:rsid w:val="3073746A"/>
    <w:rsid w:val="307A75D2"/>
    <w:rsid w:val="30864F95"/>
    <w:rsid w:val="30BB52B5"/>
    <w:rsid w:val="30C51E23"/>
    <w:rsid w:val="30F40144"/>
    <w:rsid w:val="3120747E"/>
    <w:rsid w:val="31550D31"/>
    <w:rsid w:val="31597CC8"/>
    <w:rsid w:val="316E0E84"/>
    <w:rsid w:val="3172148C"/>
    <w:rsid w:val="317926B9"/>
    <w:rsid w:val="31B22EE4"/>
    <w:rsid w:val="31B93463"/>
    <w:rsid w:val="31B96B45"/>
    <w:rsid w:val="31D4456F"/>
    <w:rsid w:val="31DB3E72"/>
    <w:rsid w:val="31E02A29"/>
    <w:rsid w:val="31F14410"/>
    <w:rsid w:val="321A0F68"/>
    <w:rsid w:val="32292124"/>
    <w:rsid w:val="325E5F90"/>
    <w:rsid w:val="3279631C"/>
    <w:rsid w:val="328125D0"/>
    <w:rsid w:val="328D7536"/>
    <w:rsid w:val="32C37453"/>
    <w:rsid w:val="32D232C9"/>
    <w:rsid w:val="32D80E99"/>
    <w:rsid w:val="33056D5B"/>
    <w:rsid w:val="33075F59"/>
    <w:rsid w:val="333062D0"/>
    <w:rsid w:val="333B4B88"/>
    <w:rsid w:val="33486F73"/>
    <w:rsid w:val="335D0A04"/>
    <w:rsid w:val="33834DA8"/>
    <w:rsid w:val="3386016C"/>
    <w:rsid w:val="339F4449"/>
    <w:rsid w:val="33E03803"/>
    <w:rsid w:val="33E90481"/>
    <w:rsid w:val="33F37950"/>
    <w:rsid w:val="33F739BF"/>
    <w:rsid w:val="33FB422D"/>
    <w:rsid w:val="33FC6456"/>
    <w:rsid w:val="33FF21C2"/>
    <w:rsid w:val="3415463E"/>
    <w:rsid w:val="3426706C"/>
    <w:rsid w:val="34455D29"/>
    <w:rsid w:val="34950D72"/>
    <w:rsid w:val="349962F1"/>
    <w:rsid w:val="34AA2205"/>
    <w:rsid w:val="34BA772A"/>
    <w:rsid w:val="34C268F0"/>
    <w:rsid w:val="34E216C2"/>
    <w:rsid w:val="34E62128"/>
    <w:rsid w:val="34EB6D2D"/>
    <w:rsid w:val="351A4B4E"/>
    <w:rsid w:val="35244325"/>
    <w:rsid w:val="352B0FB2"/>
    <w:rsid w:val="353E3787"/>
    <w:rsid w:val="356A3A2C"/>
    <w:rsid w:val="356F733E"/>
    <w:rsid w:val="358C3759"/>
    <w:rsid w:val="35950D49"/>
    <w:rsid w:val="35A2129C"/>
    <w:rsid w:val="35D76236"/>
    <w:rsid w:val="35D86E83"/>
    <w:rsid w:val="35FB17B5"/>
    <w:rsid w:val="35FD0F29"/>
    <w:rsid w:val="35FF6CA2"/>
    <w:rsid w:val="360C2CDA"/>
    <w:rsid w:val="36106985"/>
    <w:rsid w:val="36113783"/>
    <w:rsid w:val="361D2D81"/>
    <w:rsid w:val="3624150F"/>
    <w:rsid w:val="362B62F9"/>
    <w:rsid w:val="364F16CA"/>
    <w:rsid w:val="368806F5"/>
    <w:rsid w:val="36A3364E"/>
    <w:rsid w:val="36C34D95"/>
    <w:rsid w:val="36D01375"/>
    <w:rsid w:val="36DD1222"/>
    <w:rsid w:val="36EF3373"/>
    <w:rsid w:val="36F354A6"/>
    <w:rsid w:val="36FD076D"/>
    <w:rsid w:val="3708370B"/>
    <w:rsid w:val="37146569"/>
    <w:rsid w:val="371F2B59"/>
    <w:rsid w:val="3731470D"/>
    <w:rsid w:val="37446E26"/>
    <w:rsid w:val="375C6A1F"/>
    <w:rsid w:val="37657971"/>
    <w:rsid w:val="37741755"/>
    <w:rsid w:val="37747BA9"/>
    <w:rsid w:val="378C502E"/>
    <w:rsid w:val="378E1E8D"/>
    <w:rsid w:val="37920036"/>
    <w:rsid w:val="37D050EC"/>
    <w:rsid w:val="37D31EB7"/>
    <w:rsid w:val="37D35B89"/>
    <w:rsid w:val="38125829"/>
    <w:rsid w:val="381A35FE"/>
    <w:rsid w:val="381B2996"/>
    <w:rsid w:val="383F6FF1"/>
    <w:rsid w:val="384E2A68"/>
    <w:rsid w:val="385B381D"/>
    <w:rsid w:val="386B761A"/>
    <w:rsid w:val="386E4AA7"/>
    <w:rsid w:val="388B32AC"/>
    <w:rsid w:val="3890722A"/>
    <w:rsid w:val="38975C5E"/>
    <w:rsid w:val="38982F50"/>
    <w:rsid w:val="389A5F04"/>
    <w:rsid w:val="38A71733"/>
    <w:rsid w:val="38CF2D42"/>
    <w:rsid w:val="38D706A8"/>
    <w:rsid w:val="38EC1B43"/>
    <w:rsid w:val="38FC4C96"/>
    <w:rsid w:val="39014DA6"/>
    <w:rsid w:val="392149BC"/>
    <w:rsid w:val="39233290"/>
    <w:rsid w:val="392D6AB8"/>
    <w:rsid w:val="392F3349"/>
    <w:rsid w:val="393C57CE"/>
    <w:rsid w:val="393E5AF1"/>
    <w:rsid w:val="39477482"/>
    <w:rsid w:val="3952246C"/>
    <w:rsid w:val="3952341F"/>
    <w:rsid w:val="39554C1B"/>
    <w:rsid w:val="396B5F10"/>
    <w:rsid w:val="396E6C58"/>
    <w:rsid w:val="398138BE"/>
    <w:rsid w:val="39886A31"/>
    <w:rsid w:val="39AD6EE2"/>
    <w:rsid w:val="39B2499A"/>
    <w:rsid w:val="39B73DA6"/>
    <w:rsid w:val="39C024E0"/>
    <w:rsid w:val="39C66C66"/>
    <w:rsid w:val="39CB7466"/>
    <w:rsid w:val="39CC3CDC"/>
    <w:rsid w:val="39CD04E4"/>
    <w:rsid w:val="39D225FB"/>
    <w:rsid w:val="39DA1891"/>
    <w:rsid w:val="39ED6FB7"/>
    <w:rsid w:val="39F316C3"/>
    <w:rsid w:val="3A542940"/>
    <w:rsid w:val="3A603A19"/>
    <w:rsid w:val="3A671F71"/>
    <w:rsid w:val="3A9265AF"/>
    <w:rsid w:val="3A9A589A"/>
    <w:rsid w:val="3AA06A58"/>
    <w:rsid w:val="3ABC773A"/>
    <w:rsid w:val="3ABE3B96"/>
    <w:rsid w:val="3AC20508"/>
    <w:rsid w:val="3ACC1C81"/>
    <w:rsid w:val="3AD30F30"/>
    <w:rsid w:val="3ADC3087"/>
    <w:rsid w:val="3AE62E58"/>
    <w:rsid w:val="3AF86DA5"/>
    <w:rsid w:val="3AFE62CD"/>
    <w:rsid w:val="3B0031C2"/>
    <w:rsid w:val="3B03606B"/>
    <w:rsid w:val="3B040442"/>
    <w:rsid w:val="3B0C3BDA"/>
    <w:rsid w:val="3B167D97"/>
    <w:rsid w:val="3B28678A"/>
    <w:rsid w:val="3B3E0577"/>
    <w:rsid w:val="3B527ADA"/>
    <w:rsid w:val="3B532A9D"/>
    <w:rsid w:val="3B573327"/>
    <w:rsid w:val="3B6A1C79"/>
    <w:rsid w:val="3B6A737F"/>
    <w:rsid w:val="3B741DFE"/>
    <w:rsid w:val="3B807F56"/>
    <w:rsid w:val="3B84183E"/>
    <w:rsid w:val="3B8E2752"/>
    <w:rsid w:val="3B9E3DC7"/>
    <w:rsid w:val="3B9E4D3B"/>
    <w:rsid w:val="3BA102AF"/>
    <w:rsid w:val="3BB67B1E"/>
    <w:rsid w:val="3BC13155"/>
    <w:rsid w:val="3BDC7BD3"/>
    <w:rsid w:val="3BE108B5"/>
    <w:rsid w:val="3BF76050"/>
    <w:rsid w:val="3BFB00C0"/>
    <w:rsid w:val="3C047E2D"/>
    <w:rsid w:val="3C146A3C"/>
    <w:rsid w:val="3C3B4223"/>
    <w:rsid w:val="3C461A8D"/>
    <w:rsid w:val="3C4F6DA9"/>
    <w:rsid w:val="3C5401A7"/>
    <w:rsid w:val="3C5E620C"/>
    <w:rsid w:val="3C804D06"/>
    <w:rsid w:val="3C8B3D74"/>
    <w:rsid w:val="3C916014"/>
    <w:rsid w:val="3CA74A26"/>
    <w:rsid w:val="3CBF7EDB"/>
    <w:rsid w:val="3CE74EEE"/>
    <w:rsid w:val="3D0839A4"/>
    <w:rsid w:val="3D0B01CA"/>
    <w:rsid w:val="3D0B5722"/>
    <w:rsid w:val="3D0B7D44"/>
    <w:rsid w:val="3D120DAD"/>
    <w:rsid w:val="3D152224"/>
    <w:rsid w:val="3D5033FC"/>
    <w:rsid w:val="3D844514"/>
    <w:rsid w:val="3D8B7ECC"/>
    <w:rsid w:val="3DA07A6C"/>
    <w:rsid w:val="3DA24F67"/>
    <w:rsid w:val="3DA9163B"/>
    <w:rsid w:val="3DC63BF4"/>
    <w:rsid w:val="3DF0347E"/>
    <w:rsid w:val="3E002E6D"/>
    <w:rsid w:val="3E1A51F5"/>
    <w:rsid w:val="3E3F622C"/>
    <w:rsid w:val="3E442E1B"/>
    <w:rsid w:val="3E46726F"/>
    <w:rsid w:val="3E473954"/>
    <w:rsid w:val="3E580D54"/>
    <w:rsid w:val="3E877832"/>
    <w:rsid w:val="3EAE1E36"/>
    <w:rsid w:val="3EE65284"/>
    <w:rsid w:val="3F101F4D"/>
    <w:rsid w:val="3F1201A5"/>
    <w:rsid w:val="3F1954C0"/>
    <w:rsid w:val="3F274487"/>
    <w:rsid w:val="3F277457"/>
    <w:rsid w:val="3F322611"/>
    <w:rsid w:val="3F366549"/>
    <w:rsid w:val="3F3C52CF"/>
    <w:rsid w:val="3F4F52EE"/>
    <w:rsid w:val="3F5911A8"/>
    <w:rsid w:val="3F5E5AE0"/>
    <w:rsid w:val="3F68568F"/>
    <w:rsid w:val="3F6E6D74"/>
    <w:rsid w:val="3F75343A"/>
    <w:rsid w:val="3F9714FF"/>
    <w:rsid w:val="3FE5700D"/>
    <w:rsid w:val="3FEB5A86"/>
    <w:rsid w:val="400D0C4D"/>
    <w:rsid w:val="4010245C"/>
    <w:rsid w:val="401F2AFC"/>
    <w:rsid w:val="4030751E"/>
    <w:rsid w:val="40617D23"/>
    <w:rsid w:val="407D791F"/>
    <w:rsid w:val="40944D4B"/>
    <w:rsid w:val="40A76266"/>
    <w:rsid w:val="40B94F7B"/>
    <w:rsid w:val="40C6469E"/>
    <w:rsid w:val="40E61E06"/>
    <w:rsid w:val="40E70D9D"/>
    <w:rsid w:val="40E82562"/>
    <w:rsid w:val="40FF71AA"/>
    <w:rsid w:val="41153E49"/>
    <w:rsid w:val="413E2396"/>
    <w:rsid w:val="41547E92"/>
    <w:rsid w:val="41705A59"/>
    <w:rsid w:val="418266E5"/>
    <w:rsid w:val="41997530"/>
    <w:rsid w:val="419C0C94"/>
    <w:rsid w:val="41AC6AA9"/>
    <w:rsid w:val="41B16624"/>
    <w:rsid w:val="41BF3F9D"/>
    <w:rsid w:val="41C23927"/>
    <w:rsid w:val="41C605AD"/>
    <w:rsid w:val="41CD3DC7"/>
    <w:rsid w:val="41CF3B05"/>
    <w:rsid w:val="41E01B88"/>
    <w:rsid w:val="41F158EC"/>
    <w:rsid w:val="41F44D0C"/>
    <w:rsid w:val="4210079A"/>
    <w:rsid w:val="423B3DB8"/>
    <w:rsid w:val="424B0B1B"/>
    <w:rsid w:val="4251762E"/>
    <w:rsid w:val="42A97418"/>
    <w:rsid w:val="42BA7964"/>
    <w:rsid w:val="42CF6B06"/>
    <w:rsid w:val="42F712A1"/>
    <w:rsid w:val="430B1679"/>
    <w:rsid w:val="431A4929"/>
    <w:rsid w:val="433B7A79"/>
    <w:rsid w:val="433D7A34"/>
    <w:rsid w:val="4348086D"/>
    <w:rsid w:val="4359606C"/>
    <w:rsid w:val="438807F0"/>
    <w:rsid w:val="438C644B"/>
    <w:rsid w:val="43A245A7"/>
    <w:rsid w:val="43B168E6"/>
    <w:rsid w:val="43B33C5D"/>
    <w:rsid w:val="43BA09DC"/>
    <w:rsid w:val="43DB2B70"/>
    <w:rsid w:val="43EB25B8"/>
    <w:rsid w:val="43EB3B51"/>
    <w:rsid w:val="44133BFA"/>
    <w:rsid w:val="441375BF"/>
    <w:rsid w:val="4417652B"/>
    <w:rsid w:val="44203225"/>
    <w:rsid w:val="443962B0"/>
    <w:rsid w:val="44527379"/>
    <w:rsid w:val="4454162A"/>
    <w:rsid w:val="445D615B"/>
    <w:rsid w:val="447A2126"/>
    <w:rsid w:val="4481310F"/>
    <w:rsid w:val="44825EC2"/>
    <w:rsid w:val="449446C7"/>
    <w:rsid w:val="44991990"/>
    <w:rsid w:val="44A2332B"/>
    <w:rsid w:val="44BF6024"/>
    <w:rsid w:val="44C70768"/>
    <w:rsid w:val="44CF7A6C"/>
    <w:rsid w:val="44D43212"/>
    <w:rsid w:val="451E5820"/>
    <w:rsid w:val="45224FC5"/>
    <w:rsid w:val="45297026"/>
    <w:rsid w:val="452D313D"/>
    <w:rsid w:val="452D3E19"/>
    <w:rsid w:val="45373630"/>
    <w:rsid w:val="453A519A"/>
    <w:rsid w:val="45592B4C"/>
    <w:rsid w:val="457C4011"/>
    <w:rsid w:val="45816985"/>
    <w:rsid w:val="4582328A"/>
    <w:rsid w:val="45837F71"/>
    <w:rsid w:val="45856D72"/>
    <w:rsid w:val="459A1882"/>
    <w:rsid w:val="459C6CBF"/>
    <w:rsid w:val="45A815AC"/>
    <w:rsid w:val="45AD5A68"/>
    <w:rsid w:val="45BA09FA"/>
    <w:rsid w:val="45DA1AFB"/>
    <w:rsid w:val="4604172A"/>
    <w:rsid w:val="46083F6B"/>
    <w:rsid w:val="46183399"/>
    <w:rsid w:val="462D495C"/>
    <w:rsid w:val="462F7BD3"/>
    <w:rsid w:val="463508C0"/>
    <w:rsid w:val="46537F8F"/>
    <w:rsid w:val="466617F8"/>
    <w:rsid w:val="468424CE"/>
    <w:rsid w:val="46934839"/>
    <w:rsid w:val="46960744"/>
    <w:rsid w:val="469C7B49"/>
    <w:rsid w:val="46A30FC6"/>
    <w:rsid w:val="46B007F2"/>
    <w:rsid w:val="46D56187"/>
    <w:rsid w:val="47065EF0"/>
    <w:rsid w:val="471A071C"/>
    <w:rsid w:val="47240C9C"/>
    <w:rsid w:val="472709A7"/>
    <w:rsid w:val="47282905"/>
    <w:rsid w:val="4733070F"/>
    <w:rsid w:val="473A4FAE"/>
    <w:rsid w:val="474848A6"/>
    <w:rsid w:val="47726843"/>
    <w:rsid w:val="477A5E5D"/>
    <w:rsid w:val="477D4ABC"/>
    <w:rsid w:val="47855BD7"/>
    <w:rsid w:val="479F2CD7"/>
    <w:rsid w:val="47B25E0D"/>
    <w:rsid w:val="47C26231"/>
    <w:rsid w:val="47E547F3"/>
    <w:rsid w:val="47EA465A"/>
    <w:rsid w:val="47F6332C"/>
    <w:rsid w:val="47FB2E34"/>
    <w:rsid w:val="48047A77"/>
    <w:rsid w:val="48236C46"/>
    <w:rsid w:val="48284A9B"/>
    <w:rsid w:val="48384314"/>
    <w:rsid w:val="483D4908"/>
    <w:rsid w:val="484035D8"/>
    <w:rsid w:val="484D707A"/>
    <w:rsid w:val="48535451"/>
    <w:rsid w:val="485D597C"/>
    <w:rsid w:val="4860207B"/>
    <w:rsid w:val="486978F9"/>
    <w:rsid w:val="48941A5A"/>
    <w:rsid w:val="48B87F4B"/>
    <w:rsid w:val="48BB7D3A"/>
    <w:rsid w:val="48BC6BE6"/>
    <w:rsid w:val="48CB11DD"/>
    <w:rsid w:val="48D415E3"/>
    <w:rsid w:val="48DC3376"/>
    <w:rsid w:val="48EE455A"/>
    <w:rsid w:val="48F50BCA"/>
    <w:rsid w:val="48FD71DA"/>
    <w:rsid w:val="491513C4"/>
    <w:rsid w:val="49164262"/>
    <w:rsid w:val="49305D8A"/>
    <w:rsid w:val="4956035F"/>
    <w:rsid w:val="497B78DC"/>
    <w:rsid w:val="497C50C6"/>
    <w:rsid w:val="497D27BF"/>
    <w:rsid w:val="498F6B32"/>
    <w:rsid w:val="499775CA"/>
    <w:rsid w:val="499923ED"/>
    <w:rsid w:val="499C25E9"/>
    <w:rsid w:val="49A87938"/>
    <w:rsid w:val="49A93754"/>
    <w:rsid w:val="49FB2B8D"/>
    <w:rsid w:val="4A0861AB"/>
    <w:rsid w:val="4A211D5B"/>
    <w:rsid w:val="4A501080"/>
    <w:rsid w:val="4A5C5E49"/>
    <w:rsid w:val="4A757067"/>
    <w:rsid w:val="4A7D57E6"/>
    <w:rsid w:val="4A7F1C6C"/>
    <w:rsid w:val="4A8C5444"/>
    <w:rsid w:val="4AA70165"/>
    <w:rsid w:val="4AAA5E61"/>
    <w:rsid w:val="4AB843DD"/>
    <w:rsid w:val="4AD23667"/>
    <w:rsid w:val="4AE63482"/>
    <w:rsid w:val="4AEE0422"/>
    <w:rsid w:val="4AF23406"/>
    <w:rsid w:val="4AFE00B1"/>
    <w:rsid w:val="4B196EDD"/>
    <w:rsid w:val="4B5E1F58"/>
    <w:rsid w:val="4B650F2D"/>
    <w:rsid w:val="4B794BF2"/>
    <w:rsid w:val="4B956216"/>
    <w:rsid w:val="4B957B80"/>
    <w:rsid w:val="4BB346F3"/>
    <w:rsid w:val="4BBC4458"/>
    <w:rsid w:val="4BC80C02"/>
    <w:rsid w:val="4BCD6C63"/>
    <w:rsid w:val="4BE7656F"/>
    <w:rsid w:val="4C13192F"/>
    <w:rsid w:val="4C151454"/>
    <w:rsid w:val="4C3C2FD7"/>
    <w:rsid w:val="4C457145"/>
    <w:rsid w:val="4C4C74D6"/>
    <w:rsid w:val="4C73554C"/>
    <w:rsid w:val="4C7F06AF"/>
    <w:rsid w:val="4C85400F"/>
    <w:rsid w:val="4C913C84"/>
    <w:rsid w:val="4C964567"/>
    <w:rsid w:val="4C97320C"/>
    <w:rsid w:val="4CAB4756"/>
    <w:rsid w:val="4CB12FB6"/>
    <w:rsid w:val="4CB14319"/>
    <w:rsid w:val="4CBC46D4"/>
    <w:rsid w:val="4CC76695"/>
    <w:rsid w:val="4CD735BB"/>
    <w:rsid w:val="4CE01C58"/>
    <w:rsid w:val="4CE97456"/>
    <w:rsid w:val="4CF21EA1"/>
    <w:rsid w:val="4D066161"/>
    <w:rsid w:val="4D167018"/>
    <w:rsid w:val="4D2276E6"/>
    <w:rsid w:val="4D386019"/>
    <w:rsid w:val="4D3C54E8"/>
    <w:rsid w:val="4D4200E8"/>
    <w:rsid w:val="4D6937F0"/>
    <w:rsid w:val="4D6A0626"/>
    <w:rsid w:val="4D7A378C"/>
    <w:rsid w:val="4D8D4001"/>
    <w:rsid w:val="4DBF13DF"/>
    <w:rsid w:val="4DC46CD6"/>
    <w:rsid w:val="4DC860BB"/>
    <w:rsid w:val="4DCC2B23"/>
    <w:rsid w:val="4DDF1EE5"/>
    <w:rsid w:val="4E072CD6"/>
    <w:rsid w:val="4E0C7AF2"/>
    <w:rsid w:val="4E0F2BBD"/>
    <w:rsid w:val="4E1B5096"/>
    <w:rsid w:val="4E255E70"/>
    <w:rsid w:val="4E277D39"/>
    <w:rsid w:val="4E2F1003"/>
    <w:rsid w:val="4E39451D"/>
    <w:rsid w:val="4E4D7657"/>
    <w:rsid w:val="4E563A57"/>
    <w:rsid w:val="4E623B27"/>
    <w:rsid w:val="4E6765F6"/>
    <w:rsid w:val="4EAB204E"/>
    <w:rsid w:val="4EAD096E"/>
    <w:rsid w:val="4EC20384"/>
    <w:rsid w:val="4ED65285"/>
    <w:rsid w:val="4EDC4235"/>
    <w:rsid w:val="4F002F29"/>
    <w:rsid w:val="4F09270C"/>
    <w:rsid w:val="4F1B4E85"/>
    <w:rsid w:val="4F1F61D4"/>
    <w:rsid w:val="4F200663"/>
    <w:rsid w:val="4F201BD9"/>
    <w:rsid w:val="4F227A7C"/>
    <w:rsid w:val="4F241A89"/>
    <w:rsid w:val="4F323009"/>
    <w:rsid w:val="4F3310EF"/>
    <w:rsid w:val="4F3976C1"/>
    <w:rsid w:val="4F432681"/>
    <w:rsid w:val="4F543296"/>
    <w:rsid w:val="4F6902A3"/>
    <w:rsid w:val="4F6B639F"/>
    <w:rsid w:val="4F7B2EC5"/>
    <w:rsid w:val="4F7C0139"/>
    <w:rsid w:val="4FA73873"/>
    <w:rsid w:val="4FAA1A3C"/>
    <w:rsid w:val="4FC73A3C"/>
    <w:rsid w:val="4FCC4D08"/>
    <w:rsid w:val="4FCD7B95"/>
    <w:rsid w:val="4FCF5943"/>
    <w:rsid w:val="503958C6"/>
    <w:rsid w:val="504E6CF8"/>
    <w:rsid w:val="505170A9"/>
    <w:rsid w:val="50556CCE"/>
    <w:rsid w:val="50785557"/>
    <w:rsid w:val="5079451E"/>
    <w:rsid w:val="508A44B4"/>
    <w:rsid w:val="508F27BA"/>
    <w:rsid w:val="50B7688B"/>
    <w:rsid w:val="50CD0D60"/>
    <w:rsid w:val="50E0128B"/>
    <w:rsid w:val="50E44BED"/>
    <w:rsid w:val="50E730C6"/>
    <w:rsid w:val="51072E15"/>
    <w:rsid w:val="51142BBD"/>
    <w:rsid w:val="512A53EB"/>
    <w:rsid w:val="5146723B"/>
    <w:rsid w:val="51496A60"/>
    <w:rsid w:val="514B2A33"/>
    <w:rsid w:val="51613E69"/>
    <w:rsid w:val="51710D48"/>
    <w:rsid w:val="519B6FAF"/>
    <w:rsid w:val="51AD6088"/>
    <w:rsid w:val="51B0150B"/>
    <w:rsid w:val="51B313FC"/>
    <w:rsid w:val="51B47B8B"/>
    <w:rsid w:val="51BE1A73"/>
    <w:rsid w:val="51C26688"/>
    <w:rsid w:val="51D24271"/>
    <w:rsid w:val="51D441DA"/>
    <w:rsid w:val="51E501FF"/>
    <w:rsid w:val="51FF1A5D"/>
    <w:rsid w:val="52050FC9"/>
    <w:rsid w:val="520E0FA7"/>
    <w:rsid w:val="521868F4"/>
    <w:rsid w:val="521D2D86"/>
    <w:rsid w:val="52252973"/>
    <w:rsid w:val="52574838"/>
    <w:rsid w:val="52611584"/>
    <w:rsid w:val="529E6070"/>
    <w:rsid w:val="52AF7EAF"/>
    <w:rsid w:val="52B5397F"/>
    <w:rsid w:val="52B80F36"/>
    <w:rsid w:val="52D0439D"/>
    <w:rsid w:val="52D70A31"/>
    <w:rsid w:val="52ED2036"/>
    <w:rsid w:val="52F373D6"/>
    <w:rsid w:val="53167408"/>
    <w:rsid w:val="5350617D"/>
    <w:rsid w:val="5360489A"/>
    <w:rsid w:val="536E65B3"/>
    <w:rsid w:val="53885347"/>
    <w:rsid w:val="539151C8"/>
    <w:rsid w:val="53A66D05"/>
    <w:rsid w:val="53B35816"/>
    <w:rsid w:val="53B63CB0"/>
    <w:rsid w:val="53C6583C"/>
    <w:rsid w:val="53E44C7A"/>
    <w:rsid w:val="53EA2DC9"/>
    <w:rsid w:val="53FF3C8B"/>
    <w:rsid w:val="54145732"/>
    <w:rsid w:val="541E6BE4"/>
    <w:rsid w:val="54483D90"/>
    <w:rsid w:val="54564209"/>
    <w:rsid w:val="54692DE3"/>
    <w:rsid w:val="5485443F"/>
    <w:rsid w:val="54A460FE"/>
    <w:rsid w:val="54B3330D"/>
    <w:rsid w:val="54DB0A91"/>
    <w:rsid w:val="5504341F"/>
    <w:rsid w:val="550B0C1F"/>
    <w:rsid w:val="5515219B"/>
    <w:rsid w:val="55373BA3"/>
    <w:rsid w:val="55395086"/>
    <w:rsid w:val="555777E8"/>
    <w:rsid w:val="558E7387"/>
    <w:rsid w:val="55A87397"/>
    <w:rsid w:val="55A8741B"/>
    <w:rsid w:val="55B3525D"/>
    <w:rsid w:val="55BB739C"/>
    <w:rsid w:val="55BC5B6B"/>
    <w:rsid w:val="55C27CFB"/>
    <w:rsid w:val="55E57E84"/>
    <w:rsid w:val="55E672E3"/>
    <w:rsid w:val="55FA0791"/>
    <w:rsid w:val="5600638B"/>
    <w:rsid w:val="56023086"/>
    <w:rsid w:val="560676C2"/>
    <w:rsid w:val="560D31C9"/>
    <w:rsid w:val="560F4DA4"/>
    <w:rsid w:val="56384878"/>
    <w:rsid w:val="56491010"/>
    <w:rsid w:val="564D06B9"/>
    <w:rsid w:val="56534E5D"/>
    <w:rsid w:val="56547D87"/>
    <w:rsid w:val="566C6EE3"/>
    <w:rsid w:val="56715F6D"/>
    <w:rsid w:val="567B5DAF"/>
    <w:rsid w:val="56A13A93"/>
    <w:rsid w:val="56B16EEB"/>
    <w:rsid w:val="56BF7780"/>
    <w:rsid w:val="56C270DB"/>
    <w:rsid w:val="56D46041"/>
    <w:rsid w:val="56D67CED"/>
    <w:rsid w:val="56EB2539"/>
    <w:rsid w:val="56F62606"/>
    <w:rsid w:val="57067C4A"/>
    <w:rsid w:val="571F0900"/>
    <w:rsid w:val="573A615D"/>
    <w:rsid w:val="573B26BB"/>
    <w:rsid w:val="57635FAF"/>
    <w:rsid w:val="576A0616"/>
    <w:rsid w:val="578254A9"/>
    <w:rsid w:val="578711B4"/>
    <w:rsid w:val="5792709E"/>
    <w:rsid w:val="579950EE"/>
    <w:rsid w:val="579B3289"/>
    <w:rsid w:val="57A66C11"/>
    <w:rsid w:val="57AA46B8"/>
    <w:rsid w:val="57C41FAD"/>
    <w:rsid w:val="57CC7729"/>
    <w:rsid w:val="57CD7D83"/>
    <w:rsid w:val="57E96447"/>
    <w:rsid w:val="57F77BF3"/>
    <w:rsid w:val="57F839CD"/>
    <w:rsid w:val="580067E6"/>
    <w:rsid w:val="580803E7"/>
    <w:rsid w:val="582742B3"/>
    <w:rsid w:val="58670212"/>
    <w:rsid w:val="588B42B0"/>
    <w:rsid w:val="5892256E"/>
    <w:rsid w:val="58950572"/>
    <w:rsid w:val="589B1BA7"/>
    <w:rsid w:val="58C74505"/>
    <w:rsid w:val="58C91862"/>
    <w:rsid w:val="58ED4EBE"/>
    <w:rsid w:val="590E78FF"/>
    <w:rsid w:val="592F6AE7"/>
    <w:rsid w:val="593460D9"/>
    <w:rsid w:val="594E5A0E"/>
    <w:rsid w:val="59566C86"/>
    <w:rsid w:val="595D772D"/>
    <w:rsid w:val="596F7670"/>
    <w:rsid w:val="59AD42B8"/>
    <w:rsid w:val="59B354A1"/>
    <w:rsid w:val="59BE500E"/>
    <w:rsid w:val="59C10FE6"/>
    <w:rsid w:val="59DA132E"/>
    <w:rsid w:val="59EA02DB"/>
    <w:rsid w:val="5A0D24A1"/>
    <w:rsid w:val="5A166B3E"/>
    <w:rsid w:val="5A1A7FF4"/>
    <w:rsid w:val="5A275D99"/>
    <w:rsid w:val="5A4B4C4F"/>
    <w:rsid w:val="5A5E0606"/>
    <w:rsid w:val="5A663832"/>
    <w:rsid w:val="5A9136D3"/>
    <w:rsid w:val="5A955AE4"/>
    <w:rsid w:val="5A97567E"/>
    <w:rsid w:val="5AAA525D"/>
    <w:rsid w:val="5AAF063C"/>
    <w:rsid w:val="5AB44C8C"/>
    <w:rsid w:val="5ADB5C24"/>
    <w:rsid w:val="5ADC68DB"/>
    <w:rsid w:val="5ADD68FE"/>
    <w:rsid w:val="5AE40D40"/>
    <w:rsid w:val="5AEF1D67"/>
    <w:rsid w:val="5AFB5973"/>
    <w:rsid w:val="5B053A05"/>
    <w:rsid w:val="5B112E41"/>
    <w:rsid w:val="5B227ADD"/>
    <w:rsid w:val="5B4F5DBD"/>
    <w:rsid w:val="5B5C1B8A"/>
    <w:rsid w:val="5B5E3E5E"/>
    <w:rsid w:val="5B637AD0"/>
    <w:rsid w:val="5B645FE8"/>
    <w:rsid w:val="5B6D0CC6"/>
    <w:rsid w:val="5B73484D"/>
    <w:rsid w:val="5B7A73C5"/>
    <w:rsid w:val="5B81782F"/>
    <w:rsid w:val="5B901867"/>
    <w:rsid w:val="5B95665F"/>
    <w:rsid w:val="5B97249B"/>
    <w:rsid w:val="5B987334"/>
    <w:rsid w:val="5BA637CB"/>
    <w:rsid w:val="5BC33CE5"/>
    <w:rsid w:val="5BC85867"/>
    <w:rsid w:val="5BD6448B"/>
    <w:rsid w:val="5C1125F4"/>
    <w:rsid w:val="5C2955A3"/>
    <w:rsid w:val="5CB45289"/>
    <w:rsid w:val="5CB80215"/>
    <w:rsid w:val="5CB8172D"/>
    <w:rsid w:val="5CF744FC"/>
    <w:rsid w:val="5D1345CA"/>
    <w:rsid w:val="5D192BF2"/>
    <w:rsid w:val="5D1E79E0"/>
    <w:rsid w:val="5D3A3532"/>
    <w:rsid w:val="5D3C30F1"/>
    <w:rsid w:val="5D502731"/>
    <w:rsid w:val="5D57570B"/>
    <w:rsid w:val="5D5D1912"/>
    <w:rsid w:val="5D607A05"/>
    <w:rsid w:val="5D7B70B6"/>
    <w:rsid w:val="5D883F69"/>
    <w:rsid w:val="5DC0655D"/>
    <w:rsid w:val="5DC73067"/>
    <w:rsid w:val="5DCB52D5"/>
    <w:rsid w:val="5E0C4843"/>
    <w:rsid w:val="5E1136D3"/>
    <w:rsid w:val="5E132FCF"/>
    <w:rsid w:val="5E186DC1"/>
    <w:rsid w:val="5E256F12"/>
    <w:rsid w:val="5E291A3C"/>
    <w:rsid w:val="5E2B7D06"/>
    <w:rsid w:val="5E4A6C25"/>
    <w:rsid w:val="5E4E7824"/>
    <w:rsid w:val="5E657FD5"/>
    <w:rsid w:val="5E6B016A"/>
    <w:rsid w:val="5E7424B9"/>
    <w:rsid w:val="5EA221C0"/>
    <w:rsid w:val="5EB545F1"/>
    <w:rsid w:val="5EBC69EA"/>
    <w:rsid w:val="5EC4521D"/>
    <w:rsid w:val="5EC81422"/>
    <w:rsid w:val="5ECB7D08"/>
    <w:rsid w:val="5F00638D"/>
    <w:rsid w:val="5F0666D1"/>
    <w:rsid w:val="5F1127C1"/>
    <w:rsid w:val="5F1A3270"/>
    <w:rsid w:val="5F2E11CB"/>
    <w:rsid w:val="5F323D3B"/>
    <w:rsid w:val="5F3312DA"/>
    <w:rsid w:val="5F391D7A"/>
    <w:rsid w:val="5F430C2F"/>
    <w:rsid w:val="5F484148"/>
    <w:rsid w:val="5F573161"/>
    <w:rsid w:val="5F5A3DE0"/>
    <w:rsid w:val="5F5D0183"/>
    <w:rsid w:val="5F6E7803"/>
    <w:rsid w:val="5F88345C"/>
    <w:rsid w:val="5F8B1F12"/>
    <w:rsid w:val="5FB95F9C"/>
    <w:rsid w:val="5FCA5FB2"/>
    <w:rsid w:val="5FD36381"/>
    <w:rsid w:val="5FE75FA0"/>
    <w:rsid w:val="5FF859DD"/>
    <w:rsid w:val="5FFB0F43"/>
    <w:rsid w:val="60086E3E"/>
    <w:rsid w:val="601D6B0B"/>
    <w:rsid w:val="60433B6D"/>
    <w:rsid w:val="6047514D"/>
    <w:rsid w:val="604D5843"/>
    <w:rsid w:val="60690979"/>
    <w:rsid w:val="60780515"/>
    <w:rsid w:val="607E1AEE"/>
    <w:rsid w:val="608347F9"/>
    <w:rsid w:val="60AD069A"/>
    <w:rsid w:val="60D60F19"/>
    <w:rsid w:val="60E04853"/>
    <w:rsid w:val="6111612F"/>
    <w:rsid w:val="61173DDF"/>
    <w:rsid w:val="61225A16"/>
    <w:rsid w:val="61255C23"/>
    <w:rsid w:val="614B3900"/>
    <w:rsid w:val="61512811"/>
    <w:rsid w:val="615A5D32"/>
    <w:rsid w:val="615B0018"/>
    <w:rsid w:val="616D3F67"/>
    <w:rsid w:val="617E391D"/>
    <w:rsid w:val="61977E30"/>
    <w:rsid w:val="61AA26E8"/>
    <w:rsid w:val="61B63DE8"/>
    <w:rsid w:val="61C610A9"/>
    <w:rsid w:val="61D00858"/>
    <w:rsid w:val="61DD745D"/>
    <w:rsid w:val="61E379B5"/>
    <w:rsid w:val="61F121C8"/>
    <w:rsid w:val="62026FC3"/>
    <w:rsid w:val="6225275D"/>
    <w:rsid w:val="62272142"/>
    <w:rsid w:val="623A005B"/>
    <w:rsid w:val="625652E4"/>
    <w:rsid w:val="627C642A"/>
    <w:rsid w:val="62997E37"/>
    <w:rsid w:val="62A67983"/>
    <w:rsid w:val="62BB5764"/>
    <w:rsid w:val="62CB62FD"/>
    <w:rsid w:val="62CC0015"/>
    <w:rsid w:val="62CF2D37"/>
    <w:rsid w:val="62DF7D62"/>
    <w:rsid w:val="62F05FFB"/>
    <w:rsid w:val="62F73C1D"/>
    <w:rsid w:val="6318297A"/>
    <w:rsid w:val="631E4315"/>
    <w:rsid w:val="632335C5"/>
    <w:rsid w:val="63251ED3"/>
    <w:rsid w:val="63410176"/>
    <w:rsid w:val="63502710"/>
    <w:rsid w:val="637F520F"/>
    <w:rsid w:val="63842EBA"/>
    <w:rsid w:val="638560C9"/>
    <w:rsid w:val="63975B86"/>
    <w:rsid w:val="639A5334"/>
    <w:rsid w:val="639C1C82"/>
    <w:rsid w:val="63B633F1"/>
    <w:rsid w:val="63CC2CE3"/>
    <w:rsid w:val="63D353D7"/>
    <w:rsid w:val="63EE7CE7"/>
    <w:rsid w:val="64045FEC"/>
    <w:rsid w:val="640611AA"/>
    <w:rsid w:val="640B4D8C"/>
    <w:rsid w:val="64516E73"/>
    <w:rsid w:val="64550156"/>
    <w:rsid w:val="6461174F"/>
    <w:rsid w:val="64700E12"/>
    <w:rsid w:val="64741469"/>
    <w:rsid w:val="64A7599B"/>
    <w:rsid w:val="64CB68D3"/>
    <w:rsid w:val="64D11579"/>
    <w:rsid w:val="64D27968"/>
    <w:rsid w:val="64F55639"/>
    <w:rsid w:val="650347C3"/>
    <w:rsid w:val="65064887"/>
    <w:rsid w:val="65270E31"/>
    <w:rsid w:val="655A21E8"/>
    <w:rsid w:val="65716A56"/>
    <w:rsid w:val="657374A7"/>
    <w:rsid w:val="6579400E"/>
    <w:rsid w:val="65896CB7"/>
    <w:rsid w:val="65B361E5"/>
    <w:rsid w:val="65B54F2F"/>
    <w:rsid w:val="65BA2E14"/>
    <w:rsid w:val="65DA7504"/>
    <w:rsid w:val="65E33BAE"/>
    <w:rsid w:val="65E3436A"/>
    <w:rsid w:val="660A470F"/>
    <w:rsid w:val="661367CC"/>
    <w:rsid w:val="661D48AB"/>
    <w:rsid w:val="66352203"/>
    <w:rsid w:val="663B689B"/>
    <w:rsid w:val="663F7D09"/>
    <w:rsid w:val="6649750E"/>
    <w:rsid w:val="66517F48"/>
    <w:rsid w:val="66641F39"/>
    <w:rsid w:val="667F6E2D"/>
    <w:rsid w:val="668929C8"/>
    <w:rsid w:val="66A57F60"/>
    <w:rsid w:val="66B04996"/>
    <w:rsid w:val="66B242CF"/>
    <w:rsid w:val="66B34D4F"/>
    <w:rsid w:val="66B47140"/>
    <w:rsid w:val="66C032F3"/>
    <w:rsid w:val="66CE63C4"/>
    <w:rsid w:val="66D12BE4"/>
    <w:rsid w:val="66D75EBE"/>
    <w:rsid w:val="66DB09E6"/>
    <w:rsid w:val="66E2281C"/>
    <w:rsid w:val="66F42A70"/>
    <w:rsid w:val="66F504BC"/>
    <w:rsid w:val="6708295B"/>
    <w:rsid w:val="670F7D11"/>
    <w:rsid w:val="67364560"/>
    <w:rsid w:val="67416627"/>
    <w:rsid w:val="674A5010"/>
    <w:rsid w:val="67561775"/>
    <w:rsid w:val="6756512A"/>
    <w:rsid w:val="67575308"/>
    <w:rsid w:val="675971F6"/>
    <w:rsid w:val="675A6F94"/>
    <w:rsid w:val="67740C11"/>
    <w:rsid w:val="678F6D6F"/>
    <w:rsid w:val="6792782A"/>
    <w:rsid w:val="679562BB"/>
    <w:rsid w:val="679D25DF"/>
    <w:rsid w:val="67A95526"/>
    <w:rsid w:val="67E84FF5"/>
    <w:rsid w:val="67F1538B"/>
    <w:rsid w:val="67FD7D3F"/>
    <w:rsid w:val="681A6F92"/>
    <w:rsid w:val="683101A5"/>
    <w:rsid w:val="684429B6"/>
    <w:rsid w:val="685D3B80"/>
    <w:rsid w:val="68637244"/>
    <w:rsid w:val="686B7F95"/>
    <w:rsid w:val="68755A18"/>
    <w:rsid w:val="68A4261A"/>
    <w:rsid w:val="68C70A0F"/>
    <w:rsid w:val="68D60783"/>
    <w:rsid w:val="68DF2BB7"/>
    <w:rsid w:val="69022594"/>
    <w:rsid w:val="690C335F"/>
    <w:rsid w:val="691112BE"/>
    <w:rsid w:val="691F1D7C"/>
    <w:rsid w:val="6937466F"/>
    <w:rsid w:val="6941026E"/>
    <w:rsid w:val="69430060"/>
    <w:rsid w:val="694B4A9F"/>
    <w:rsid w:val="695C5146"/>
    <w:rsid w:val="695E0BDC"/>
    <w:rsid w:val="695F216C"/>
    <w:rsid w:val="696900F9"/>
    <w:rsid w:val="698E3B66"/>
    <w:rsid w:val="699B76C0"/>
    <w:rsid w:val="699E3C68"/>
    <w:rsid w:val="69A41532"/>
    <w:rsid w:val="69AF4E83"/>
    <w:rsid w:val="69B57786"/>
    <w:rsid w:val="69BD0D4A"/>
    <w:rsid w:val="69C85EEB"/>
    <w:rsid w:val="69E17C1B"/>
    <w:rsid w:val="69F50DEA"/>
    <w:rsid w:val="6A10014A"/>
    <w:rsid w:val="6A11775E"/>
    <w:rsid w:val="6A1607A5"/>
    <w:rsid w:val="6A2569E8"/>
    <w:rsid w:val="6A275BB2"/>
    <w:rsid w:val="6A34352B"/>
    <w:rsid w:val="6A7E1353"/>
    <w:rsid w:val="6A7E3220"/>
    <w:rsid w:val="6A811269"/>
    <w:rsid w:val="6A874722"/>
    <w:rsid w:val="6A943245"/>
    <w:rsid w:val="6A980C75"/>
    <w:rsid w:val="6AA621EB"/>
    <w:rsid w:val="6AB20F13"/>
    <w:rsid w:val="6AD7203D"/>
    <w:rsid w:val="6AD91142"/>
    <w:rsid w:val="6ADB44E3"/>
    <w:rsid w:val="6AFE35EB"/>
    <w:rsid w:val="6B0C0005"/>
    <w:rsid w:val="6B103481"/>
    <w:rsid w:val="6B261F24"/>
    <w:rsid w:val="6B2E4587"/>
    <w:rsid w:val="6B2F69AB"/>
    <w:rsid w:val="6B322727"/>
    <w:rsid w:val="6B345939"/>
    <w:rsid w:val="6B544B12"/>
    <w:rsid w:val="6B735DC6"/>
    <w:rsid w:val="6B8E10C6"/>
    <w:rsid w:val="6B9D6CC9"/>
    <w:rsid w:val="6B9F1C5A"/>
    <w:rsid w:val="6BA40FA8"/>
    <w:rsid w:val="6BCE272D"/>
    <w:rsid w:val="6BD17202"/>
    <w:rsid w:val="6BDA48E8"/>
    <w:rsid w:val="6BEA2DDC"/>
    <w:rsid w:val="6BEC6693"/>
    <w:rsid w:val="6BEF6869"/>
    <w:rsid w:val="6BF13131"/>
    <w:rsid w:val="6BF4789F"/>
    <w:rsid w:val="6C107823"/>
    <w:rsid w:val="6C2F1074"/>
    <w:rsid w:val="6C2F3D0F"/>
    <w:rsid w:val="6C403F3B"/>
    <w:rsid w:val="6C4C685D"/>
    <w:rsid w:val="6C503658"/>
    <w:rsid w:val="6C5E24C8"/>
    <w:rsid w:val="6C6A2792"/>
    <w:rsid w:val="6C6F0400"/>
    <w:rsid w:val="6C6F3F31"/>
    <w:rsid w:val="6C9C732B"/>
    <w:rsid w:val="6CA04282"/>
    <w:rsid w:val="6CA42184"/>
    <w:rsid w:val="6CB62637"/>
    <w:rsid w:val="6CD43FAC"/>
    <w:rsid w:val="6CF16206"/>
    <w:rsid w:val="6D040768"/>
    <w:rsid w:val="6D0F062D"/>
    <w:rsid w:val="6D2D66F9"/>
    <w:rsid w:val="6D63146E"/>
    <w:rsid w:val="6D6341BD"/>
    <w:rsid w:val="6D7441F2"/>
    <w:rsid w:val="6DA24174"/>
    <w:rsid w:val="6DA77BC4"/>
    <w:rsid w:val="6DAF1DC5"/>
    <w:rsid w:val="6DBD7E17"/>
    <w:rsid w:val="6DCC7EE3"/>
    <w:rsid w:val="6DEA74CC"/>
    <w:rsid w:val="6DEE46F0"/>
    <w:rsid w:val="6E1B2192"/>
    <w:rsid w:val="6E2768DE"/>
    <w:rsid w:val="6E3D0256"/>
    <w:rsid w:val="6E4509C5"/>
    <w:rsid w:val="6E5266A5"/>
    <w:rsid w:val="6E8B023E"/>
    <w:rsid w:val="6EAB23ED"/>
    <w:rsid w:val="6EDB4567"/>
    <w:rsid w:val="6EEE2041"/>
    <w:rsid w:val="6EF43B52"/>
    <w:rsid w:val="6EFF7DB8"/>
    <w:rsid w:val="6F0B24A8"/>
    <w:rsid w:val="6F0B4B64"/>
    <w:rsid w:val="6F1839BB"/>
    <w:rsid w:val="6F2B2405"/>
    <w:rsid w:val="6F52299C"/>
    <w:rsid w:val="6F681FAB"/>
    <w:rsid w:val="6F78093B"/>
    <w:rsid w:val="6F85728A"/>
    <w:rsid w:val="6F8849EA"/>
    <w:rsid w:val="6F8C5EE1"/>
    <w:rsid w:val="6F9B3B28"/>
    <w:rsid w:val="6F9E0FA2"/>
    <w:rsid w:val="6FC52899"/>
    <w:rsid w:val="6FCB5AF8"/>
    <w:rsid w:val="6FD67CAA"/>
    <w:rsid w:val="6FDF67E9"/>
    <w:rsid w:val="6FE97323"/>
    <w:rsid w:val="6FF41152"/>
    <w:rsid w:val="6FF714BD"/>
    <w:rsid w:val="6FFB5D76"/>
    <w:rsid w:val="6FFE1A52"/>
    <w:rsid w:val="700A3942"/>
    <w:rsid w:val="70184C37"/>
    <w:rsid w:val="701A04B4"/>
    <w:rsid w:val="70267C00"/>
    <w:rsid w:val="703D130D"/>
    <w:rsid w:val="7050133A"/>
    <w:rsid w:val="70570991"/>
    <w:rsid w:val="705748E7"/>
    <w:rsid w:val="706503ED"/>
    <w:rsid w:val="70817D72"/>
    <w:rsid w:val="708B7E75"/>
    <w:rsid w:val="70935CE0"/>
    <w:rsid w:val="709F6B0C"/>
    <w:rsid w:val="70C2327B"/>
    <w:rsid w:val="70D53838"/>
    <w:rsid w:val="70EE6254"/>
    <w:rsid w:val="70F5419D"/>
    <w:rsid w:val="70F9568E"/>
    <w:rsid w:val="710C7A9D"/>
    <w:rsid w:val="71343AF1"/>
    <w:rsid w:val="71417E30"/>
    <w:rsid w:val="71803F49"/>
    <w:rsid w:val="71AA4057"/>
    <w:rsid w:val="71B1474F"/>
    <w:rsid w:val="71B25321"/>
    <w:rsid w:val="71C37D8F"/>
    <w:rsid w:val="71E212E1"/>
    <w:rsid w:val="71FC7AA5"/>
    <w:rsid w:val="721549A9"/>
    <w:rsid w:val="721B49F1"/>
    <w:rsid w:val="72461451"/>
    <w:rsid w:val="72833F3A"/>
    <w:rsid w:val="729F4AB0"/>
    <w:rsid w:val="72AB3A36"/>
    <w:rsid w:val="72AF1F1A"/>
    <w:rsid w:val="72AF650D"/>
    <w:rsid w:val="72D533A0"/>
    <w:rsid w:val="72E02A6B"/>
    <w:rsid w:val="730234A0"/>
    <w:rsid w:val="73061BB1"/>
    <w:rsid w:val="7306324F"/>
    <w:rsid w:val="73255B24"/>
    <w:rsid w:val="733E4E14"/>
    <w:rsid w:val="735F6D86"/>
    <w:rsid w:val="736A2596"/>
    <w:rsid w:val="738278AC"/>
    <w:rsid w:val="73924309"/>
    <w:rsid w:val="73B3576A"/>
    <w:rsid w:val="73B85320"/>
    <w:rsid w:val="73BC2510"/>
    <w:rsid w:val="73CC32B4"/>
    <w:rsid w:val="73E034DB"/>
    <w:rsid w:val="73F55C59"/>
    <w:rsid w:val="740563DC"/>
    <w:rsid w:val="74072E6A"/>
    <w:rsid w:val="74107579"/>
    <w:rsid w:val="74257679"/>
    <w:rsid w:val="742653C9"/>
    <w:rsid w:val="7432343A"/>
    <w:rsid w:val="743F3068"/>
    <w:rsid w:val="748E46DD"/>
    <w:rsid w:val="74937E48"/>
    <w:rsid w:val="74A07C79"/>
    <w:rsid w:val="74AA37F3"/>
    <w:rsid w:val="74BB7AF4"/>
    <w:rsid w:val="74BF03ED"/>
    <w:rsid w:val="74C15049"/>
    <w:rsid w:val="74C97862"/>
    <w:rsid w:val="74E64FA1"/>
    <w:rsid w:val="74F75F4F"/>
    <w:rsid w:val="74FA1F0C"/>
    <w:rsid w:val="750E6426"/>
    <w:rsid w:val="75213C0D"/>
    <w:rsid w:val="752236A0"/>
    <w:rsid w:val="75365517"/>
    <w:rsid w:val="7545739B"/>
    <w:rsid w:val="75772247"/>
    <w:rsid w:val="75995EF8"/>
    <w:rsid w:val="75A26549"/>
    <w:rsid w:val="75B27D35"/>
    <w:rsid w:val="75D665B1"/>
    <w:rsid w:val="75E3715D"/>
    <w:rsid w:val="75EA4583"/>
    <w:rsid w:val="76000B09"/>
    <w:rsid w:val="76277191"/>
    <w:rsid w:val="764B3323"/>
    <w:rsid w:val="765C656D"/>
    <w:rsid w:val="765E1244"/>
    <w:rsid w:val="7668362B"/>
    <w:rsid w:val="7678618F"/>
    <w:rsid w:val="767D58C9"/>
    <w:rsid w:val="76A1240E"/>
    <w:rsid w:val="772D02FF"/>
    <w:rsid w:val="77374685"/>
    <w:rsid w:val="77511971"/>
    <w:rsid w:val="77573C7A"/>
    <w:rsid w:val="7764131F"/>
    <w:rsid w:val="77673A70"/>
    <w:rsid w:val="77702D09"/>
    <w:rsid w:val="777121EE"/>
    <w:rsid w:val="77800BDF"/>
    <w:rsid w:val="77844143"/>
    <w:rsid w:val="77A30D8F"/>
    <w:rsid w:val="77C652B7"/>
    <w:rsid w:val="77C7177E"/>
    <w:rsid w:val="77E7681B"/>
    <w:rsid w:val="77F1079A"/>
    <w:rsid w:val="77F47074"/>
    <w:rsid w:val="77FC6B88"/>
    <w:rsid w:val="77FD792F"/>
    <w:rsid w:val="7808453D"/>
    <w:rsid w:val="781300F6"/>
    <w:rsid w:val="78185744"/>
    <w:rsid w:val="78401C80"/>
    <w:rsid w:val="78402568"/>
    <w:rsid w:val="784A4333"/>
    <w:rsid w:val="784C3589"/>
    <w:rsid w:val="7864121D"/>
    <w:rsid w:val="787E16C1"/>
    <w:rsid w:val="78B2721D"/>
    <w:rsid w:val="78BC79C2"/>
    <w:rsid w:val="78BD108A"/>
    <w:rsid w:val="78CF02D4"/>
    <w:rsid w:val="78F166B8"/>
    <w:rsid w:val="79065084"/>
    <w:rsid w:val="790E6ADB"/>
    <w:rsid w:val="79315598"/>
    <w:rsid w:val="79365CA5"/>
    <w:rsid w:val="793F620F"/>
    <w:rsid w:val="795E6A74"/>
    <w:rsid w:val="79784E98"/>
    <w:rsid w:val="79835574"/>
    <w:rsid w:val="79B91DDF"/>
    <w:rsid w:val="79C47C86"/>
    <w:rsid w:val="79ED3487"/>
    <w:rsid w:val="79F4371F"/>
    <w:rsid w:val="79FC1DC4"/>
    <w:rsid w:val="7A116B17"/>
    <w:rsid w:val="7A134F76"/>
    <w:rsid w:val="7A151E94"/>
    <w:rsid w:val="7A3943AB"/>
    <w:rsid w:val="7A3D1C8C"/>
    <w:rsid w:val="7A796D61"/>
    <w:rsid w:val="7A9C64D5"/>
    <w:rsid w:val="7AA74733"/>
    <w:rsid w:val="7AA77A99"/>
    <w:rsid w:val="7AAD6674"/>
    <w:rsid w:val="7AB3362B"/>
    <w:rsid w:val="7AD97B98"/>
    <w:rsid w:val="7AE03875"/>
    <w:rsid w:val="7B0F473A"/>
    <w:rsid w:val="7B282CE4"/>
    <w:rsid w:val="7B43009A"/>
    <w:rsid w:val="7B6C739F"/>
    <w:rsid w:val="7B6D595E"/>
    <w:rsid w:val="7B913D2E"/>
    <w:rsid w:val="7B971924"/>
    <w:rsid w:val="7BB0360D"/>
    <w:rsid w:val="7BB44816"/>
    <w:rsid w:val="7BC36FDF"/>
    <w:rsid w:val="7BC97BA3"/>
    <w:rsid w:val="7BE73053"/>
    <w:rsid w:val="7BEE1387"/>
    <w:rsid w:val="7C3B2E8F"/>
    <w:rsid w:val="7C3E7F74"/>
    <w:rsid w:val="7C6E120B"/>
    <w:rsid w:val="7C740F29"/>
    <w:rsid w:val="7C7543BA"/>
    <w:rsid w:val="7C7737FA"/>
    <w:rsid w:val="7C7D7F41"/>
    <w:rsid w:val="7C975BE9"/>
    <w:rsid w:val="7C9E0D09"/>
    <w:rsid w:val="7CA1694D"/>
    <w:rsid w:val="7CA27261"/>
    <w:rsid w:val="7CA570F6"/>
    <w:rsid w:val="7CAC675B"/>
    <w:rsid w:val="7CAD2AAB"/>
    <w:rsid w:val="7CCA6F10"/>
    <w:rsid w:val="7CD11596"/>
    <w:rsid w:val="7CE77295"/>
    <w:rsid w:val="7CF664EA"/>
    <w:rsid w:val="7CFE4401"/>
    <w:rsid w:val="7D0139B6"/>
    <w:rsid w:val="7D155207"/>
    <w:rsid w:val="7D1F6930"/>
    <w:rsid w:val="7D245C94"/>
    <w:rsid w:val="7D4F289D"/>
    <w:rsid w:val="7D62187D"/>
    <w:rsid w:val="7D6B3373"/>
    <w:rsid w:val="7D73015F"/>
    <w:rsid w:val="7D7D2528"/>
    <w:rsid w:val="7D7D2706"/>
    <w:rsid w:val="7D8349FF"/>
    <w:rsid w:val="7D8B67E7"/>
    <w:rsid w:val="7D9D5D6D"/>
    <w:rsid w:val="7DAC77A1"/>
    <w:rsid w:val="7DC34265"/>
    <w:rsid w:val="7DD0275B"/>
    <w:rsid w:val="7DD75D2D"/>
    <w:rsid w:val="7DE34DFC"/>
    <w:rsid w:val="7DFB20F4"/>
    <w:rsid w:val="7E117E94"/>
    <w:rsid w:val="7E175D5A"/>
    <w:rsid w:val="7E3422E0"/>
    <w:rsid w:val="7E4117D3"/>
    <w:rsid w:val="7E4626B4"/>
    <w:rsid w:val="7E4B7F6D"/>
    <w:rsid w:val="7E4D730B"/>
    <w:rsid w:val="7E561F46"/>
    <w:rsid w:val="7E624BEA"/>
    <w:rsid w:val="7E732C8C"/>
    <w:rsid w:val="7E7C1349"/>
    <w:rsid w:val="7E7C4AF3"/>
    <w:rsid w:val="7EA07087"/>
    <w:rsid w:val="7EA81008"/>
    <w:rsid w:val="7EAE74CA"/>
    <w:rsid w:val="7EBC315F"/>
    <w:rsid w:val="7ECD7BB7"/>
    <w:rsid w:val="7EEF006D"/>
    <w:rsid w:val="7EF15745"/>
    <w:rsid w:val="7EFA4E40"/>
    <w:rsid w:val="7EFC5782"/>
    <w:rsid w:val="7F140E12"/>
    <w:rsid w:val="7F1E7747"/>
    <w:rsid w:val="7F533C2D"/>
    <w:rsid w:val="7F6923FE"/>
    <w:rsid w:val="7F7C6FF5"/>
    <w:rsid w:val="7F8B3092"/>
    <w:rsid w:val="7F974397"/>
    <w:rsid w:val="7F9D3973"/>
    <w:rsid w:val="7F9F3607"/>
    <w:rsid w:val="7FAF305D"/>
    <w:rsid w:val="7FB45BDD"/>
    <w:rsid w:val="7FCB263D"/>
    <w:rsid w:val="7FD6787D"/>
    <w:rsid w:val="7FE66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tabs>
        <w:tab w:val="left" w:pos="845"/>
      </w:tabs>
      <w:adjustRightInd w:val="0"/>
      <w:snapToGrid w:val="0"/>
      <w:spacing w:line="360" w:lineRule="auto"/>
      <w:jc w:val="left"/>
      <w:outlineLvl w:val="0"/>
    </w:pPr>
    <w:rPr>
      <w:b/>
      <w:sz w:val="28"/>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djustRightInd w:val="0"/>
      <w:snapToGrid w:val="0"/>
      <w:spacing w:line="360" w:lineRule="auto"/>
      <w:outlineLvl w:val="2"/>
    </w:pPr>
    <w:rPr>
      <w:b/>
      <w:bCs/>
      <w:sz w:val="28"/>
      <w:szCs w:val="32"/>
    </w:rPr>
  </w:style>
  <w:style w:type="paragraph" w:styleId="6">
    <w:name w:val="heading 4"/>
    <w:basedOn w:val="1"/>
    <w:next w:val="1"/>
    <w:qFormat/>
    <w:uiPriority w:val="0"/>
    <w:pPr>
      <w:keepNext/>
      <w:keepLines/>
      <w:adjustRightInd w:val="0"/>
      <w:snapToGrid w:val="0"/>
      <w:spacing w:line="360" w:lineRule="auto"/>
      <w:jc w:val="center"/>
      <w:outlineLvl w:val="3"/>
    </w:pPr>
    <w:rPr>
      <w:bCs/>
      <w:sz w:val="24"/>
      <w:szCs w:val="28"/>
    </w:rPr>
  </w:style>
  <w:style w:type="paragraph" w:styleId="7">
    <w:name w:val="heading 5"/>
    <w:basedOn w:val="1"/>
    <w:next w:val="1"/>
    <w:qFormat/>
    <w:uiPriority w:val="0"/>
    <w:pPr>
      <w:keepNext/>
      <w:spacing w:line="360" w:lineRule="auto"/>
      <w:jc w:val="center"/>
      <w:outlineLvl w:val="4"/>
    </w:pPr>
    <w:rPr>
      <w:rFonts w:eastAsia="楷体"/>
      <w:sz w:val="24"/>
    </w:rPr>
  </w:style>
  <w:style w:type="paragraph" w:styleId="8">
    <w:name w:val="heading 6"/>
    <w:basedOn w:val="1"/>
    <w:next w:val="9"/>
    <w:qFormat/>
    <w:uiPriority w:val="0"/>
    <w:pPr>
      <w:keepNext/>
      <w:keepLines/>
      <w:tabs>
        <w:tab w:val="left" w:pos="1152"/>
      </w:tabs>
      <w:spacing w:before="240" w:after="64" w:line="320" w:lineRule="auto"/>
      <w:ind w:left="1152" w:hanging="1152"/>
      <w:outlineLvl w:val="5"/>
    </w:pPr>
    <w:rPr>
      <w:rFonts w:ascii="Arial" w:hAnsi="Arial" w:eastAsia="黑体"/>
      <w:b/>
      <w:bCs/>
      <w:sz w:val="24"/>
      <w:szCs w:val="21"/>
    </w:rPr>
  </w:style>
  <w:style w:type="paragraph" w:styleId="10">
    <w:name w:val="heading 7"/>
    <w:basedOn w:val="1"/>
    <w:next w:val="1"/>
    <w:qFormat/>
    <w:uiPriority w:val="1"/>
    <w:pPr>
      <w:spacing w:before="34"/>
      <w:ind w:left="699"/>
      <w:outlineLvl w:val="6"/>
    </w:pPr>
    <w:rPr>
      <w:rFonts w:ascii="宋体" w:hAnsi="宋体" w:cs="宋体"/>
      <w:b/>
      <w:bCs/>
      <w:sz w:val="24"/>
    </w:rPr>
  </w:style>
  <w:style w:type="paragraph" w:styleId="11">
    <w:name w:val="heading 8"/>
    <w:basedOn w:val="1"/>
    <w:next w:val="9"/>
    <w:qFormat/>
    <w:uiPriority w:val="0"/>
    <w:pPr>
      <w:keepNext/>
      <w:keepLines/>
      <w:tabs>
        <w:tab w:val="left" w:pos="1440"/>
      </w:tabs>
      <w:spacing w:before="240" w:after="64" w:line="320" w:lineRule="auto"/>
      <w:ind w:left="1440" w:hanging="1440"/>
      <w:outlineLvl w:val="7"/>
    </w:pPr>
    <w:rPr>
      <w:rFonts w:ascii="Arial" w:hAnsi="Arial" w:eastAsia="黑体"/>
      <w:sz w:val="24"/>
      <w:szCs w:val="21"/>
    </w:rPr>
  </w:style>
  <w:style w:type="paragraph" w:styleId="12">
    <w:name w:val="heading 9"/>
    <w:basedOn w:val="1"/>
    <w:next w:val="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ascii="宋体" w:hAnsi="宋体"/>
      <w:sz w:val="24"/>
    </w:rPr>
  </w:style>
  <w:style w:type="paragraph" w:styleId="9">
    <w:name w:val="Normal Indent"/>
    <w:basedOn w:val="1"/>
    <w:link w:val="66"/>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link w:val="49"/>
    <w:qFormat/>
    <w:uiPriority w:val="0"/>
    <w:pPr>
      <w:adjustRightInd w:val="0"/>
      <w:snapToGrid w:val="0"/>
      <w:spacing w:line="360" w:lineRule="auto"/>
      <w:ind w:firstLine="200" w:firstLineChars="200"/>
    </w:pPr>
    <w:rPr>
      <w:rFonts w:ascii="宋体" w:hAnsi="宋体"/>
      <w:sz w:val="28"/>
    </w:rPr>
  </w:style>
  <w:style w:type="paragraph" w:styleId="17">
    <w:name w:val="Body Text Indent"/>
    <w:basedOn w:val="1"/>
    <w:link w:val="65"/>
    <w:qFormat/>
    <w:uiPriority w:val="0"/>
    <w:pPr>
      <w:tabs>
        <w:tab w:val="left" w:pos="1575"/>
      </w:tabs>
      <w:spacing w:line="300" w:lineRule="auto"/>
      <w:ind w:firstLine="425"/>
    </w:pPr>
  </w:style>
  <w:style w:type="paragraph" w:styleId="18">
    <w:name w:val="toc 5"/>
    <w:basedOn w:val="1"/>
    <w:next w:val="1"/>
    <w:qFormat/>
    <w:uiPriority w:val="0"/>
    <w:pPr>
      <w:ind w:left="1680" w:leftChars="800"/>
    </w:pPr>
  </w:style>
  <w:style w:type="paragraph" w:styleId="19">
    <w:name w:val="toc 3"/>
    <w:basedOn w:val="1"/>
    <w:next w:val="1"/>
    <w:qFormat/>
    <w:uiPriority w:val="39"/>
    <w:pPr>
      <w:ind w:left="420"/>
      <w:jc w:val="left"/>
    </w:pPr>
    <w:rPr>
      <w:i/>
      <w:iCs/>
      <w:sz w:val="20"/>
      <w:szCs w:val="20"/>
    </w:rPr>
  </w:style>
  <w:style w:type="paragraph" w:styleId="20">
    <w:name w:val="Plain Text"/>
    <w:basedOn w:val="1"/>
    <w:qFormat/>
    <w:uiPriority w:val="0"/>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qFormat/>
    <w:uiPriority w:val="0"/>
    <w:pPr>
      <w:ind w:left="100" w:leftChars="2500"/>
    </w:pPr>
    <w:rPr>
      <w:sz w:val="28"/>
    </w:rPr>
  </w:style>
  <w:style w:type="paragraph" w:styleId="23">
    <w:name w:val="Body Text Indent 2"/>
    <w:basedOn w:val="1"/>
    <w:qFormat/>
    <w:uiPriority w:val="0"/>
    <w:pPr>
      <w:ind w:firstLine="560" w:firstLineChars="200"/>
    </w:pPr>
  </w:style>
  <w:style w:type="paragraph" w:styleId="24">
    <w:name w:val="Balloon Text"/>
    <w:basedOn w:val="1"/>
    <w:link w:val="47"/>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Subtitle"/>
    <w:basedOn w:val="1"/>
    <w:next w:val="1"/>
    <w:link w:val="50"/>
    <w:qFormat/>
    <w:uiPriority w:val="11"/>
    <w:pPr>
      <w:spacing w:before="240" w:after="60" w:line="312" w:lineRule="auto"/>
      <w:jc w:val="left"/>
      <w:outlineLvl w:val="1"/>
    </w:pPr>
    <w:rPr>
      <w:rFonts w:ascii="Cambria" w:hAnsi="Cambria"/>
      <w:b/>
      <w:bCs/>
      <w:kern w:val="28"/>
      <w:sz w:val="28"/>
      <w:szCs w:val="32"/>
    </w:rPr>
  </w:style>
  <w:style w:type="paragraph" w:styleId="29">
    <w:name w:val="List"/>
    <w:basedOn w:val="1"/>
    <w:qFormat/>
    <w:uiPriority w:val="0"/>
    <w:pPr>
      <w:ind w:left="420" w:hanging="420"/>
    </w:pPr>
    <w:rPr>
      <w:szCs w:val="20"/>
    </w:rPr>
  </w:style>
  <w:style w:type="paragraph" w:styleId="30">
    <w:name w:val="Body Text Indent 3"/>
    <w:basedOn w:val="1"/>
    <w:qFormat/>
    <w:uiPriority w:val="0"/>
    <w:pPr>
      <w:tabs>
        <w:tab w:val="left" w:pos="-851"/>
        <w:tab w:val="left" w:pos="851"/>
      </w:tabs>
      <w:spacing w:line="360" w:lineRule="auto"/>
      <w:ind w:firstLine="560" w:firstLineChars="200"/>
    </w:pPr>
    <w:rPr>
      <w:sz w:val="28"/>
    </w:rPr>
  </w:style>
  <w:style w:type="paragraph" w:styleId="31">
    <w:name w:val="toc 2"/>
    <w:basedOn w:val="1"/>
    <w:next w:val="1"/>
    <w:qFormat/>
    <w:uiPriority w:val="39"/>
    <w:pPr>
      <w:ind w:left="420" w:leftChars="200"/>
    </w:pPr>
  </w:style>
  <w:style w:type="paragraph" w:styleId="32">
    <w:name w:val="Body Text 2"/>
    <w:basedOn w:val="1"/>
    <w:qFormat/>
    <w:uiPriority w:val="0"/>
    <w:pPr>
      <w:spacing w:after="120" w:line="480" w:lineRule="auto"/>
    </w:pPr>
  </w:style>
  <w:style w:type="paragraph" w:styleId="33">
    <w:name w:val="Normal (Web)"/>
    <w:basedOn w:val="1"/>
    <w:qFormat/>
    <w:uiPriority w:val="0"/>
    <w:rPr>
      <w:sz w:val="24"/>
    </w:rPr>
  </w:style>
  <w:style w:type="paragraph" w:styleId="34">
    <w:name w:val="Title"/>
    <w:basedOn w:val="1"/>
    <w:next w:val="1"/>
    <w:link w:val="71"/>
    <w:qFormat/>
    <w:uiPriority w:val="0"/>
    <w:pPr>
      <w:adjustRightInd w:val="0"/>
      <w:snapToGrid w:val="0"/>
      <w:spacing w:beforeLines="100" w:line="360" w:lineRule="auto"/>
      <w:jc w:val="left"/>
      <w:outlineLvl w:val="1"/>
    </w:pPr>
    <w:rPr>
      <w:b/>
      <w:bCs/>
      <w:sz w:val="32"/>
      <w:szCs w:val="32"/>
    </w:rPr>
  </w:style>
  <w:style w:type="paragraph" w:styleId="35">
    <w:name w:val="Body Text First Indent"/>
    <w:basedOn w:val="16"/>
    <w:qFormat/>
    <w:uiPriority w:val="0"/>
    <w:pPr>
      <w:adjustRightInd/>
      <w:snapToGrid/>
      <w:spacing w:after="120" w:line="240" w:lineRule="auto"/>
      <w:ind w:firstLine="420" w:firstLineChars="100"/>
    </w:pPr>
    <w:rPr>
      <w:rFonts w:ascii="Times New Roman" w:hAnsi="Times New Roman"/>
      <w:sz w:val="21"/>
    </w:rPr>
  </w:style>
  <w:style w:type="paragraph" w:styleId="36">
    <w:name w:val="Body Text First Indent 2"/>
    <w:basedOn w:val="17"/>
    <w:link w:val="64"/>
    <w:qFormat/>
    <w:uiPriority w:val="0"/>
    <w:pPr>
      <w:tabs>
        <w:tab w:val="clear" w:pos="1575"/>
      </w:tabs>
      <w:spacing w:after="120" w:line="240" w:lineRule="auto"/>
      <w:ind w:left="420" w:leftChars="200"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Light List Accent 4"/>
    <w:basedOn w:val="37"/>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40">
    <w:name w:val="Light List Accent 5"/>
    <w:basedOn w:val="37"/>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42">
    <w:name w:val="page number"/>
    <w:basedOn w:val="41"/>
    <w:qFormat/>
    <w:uiPriority w:val="0"/>
  </w:style>
  <w:style w:type="character" w:styleId="43">
    <w:name w:val="Emphasis"/>
    <w:qFormat/>
    <w:uiPriority w:val="20"/>
    <w:rPr>
      <w:color w:val="CC0000"/>
    </w:rPr>
  </w:style>
  <w:style w:type="character" w:styleId="44">
    <w:name w:val="Hyperlink"/>
    <w:qFormat/>
    <w:uiPriority w:val="99"/>
    <w:rPr>
      <w:color w:val="0000FF"/>
      <w:u w:val="single"/>
    </w:rPr>
  </w:style>
  <w:style w:type="character" w:styleId="45">
    <w:name w:val="annotation reference"/>
    <w:semiHidden/>
    <w:qFormat/>
    <w:uiPriority w:val="0"/>
    <w:rPr>
      <w:sz w:val="21"/>
      <w:szCs w:val="21"/>
    </w:rPr>
  </w:style>
  <w:style w:type="character" w:customStyle="1" w:styleId="46">
    <w:name w:val="font11"/>
    <w:qFormat/>
    <w:uiPriority w:val="0"/>
    <w:rPr>
      <w:rFonts w:hint="default" w:ascii="Times New Roman" w:hAnsi="Times New Roman" w:cs="Times New Roman"/>
      <w:color w:val="000000"/>
      <w:sz w:val="20"/>
      <w:szCs w:val="20"/>
      <w:u w:val="none"/>
    </w:rPr>
  </w:style>
  <w:style w:type="character" w:customStyle="1" w:styleId="47">
    <w:name w:val="批注框文本 Char"/>
    <w:link w:val="24"/>
    <w:qFormat/>
    <w:uiPriority w:val="0"/>
    <w:rPr>
      <w:kern w:val="2"/>
      <w:sz w:val="18"/>
      <w:szCs w:val="18"/>
    </w:rPr>
  </w:style>
  <w:style w:type="character" w:customStyle="1" w:styleId="48">
    <w:name w:val="font41"/>
    <w:qFormat/>
    <w:uiPriority w:val="0"/>
    <w:rPr>
      <w:rFonts w:hint="default" w:ascii="Times New Roman" w:hAnsi="Times New Roman" w:cs="Times New Roman"/>
      <w:color w:val="000000"/>
      <w:sz w:val="18"/>
      <w:szCs w:val="18"/>
      <w:u w:val="none"/>
    </w:rPr>
  </w:style>
  <w:style w:type="character" w:customStyle="1" w:styleId="49">
    <w:name w:val="正文文本 Char"/>
    <w:link w:val="16"/>
    <w:qFormat/>
    <w:uiPriority w:val="0"/>
    <w:rPr>
      <w:rFonts w:ascii="宋体" w:hAnsi="宋体" w:eastAsia="宋体"/>
      <w:kern w:val="2"/>
      <w:sz w:val="28"/>
      <w:szCs w:val="24"/>
      <w:lang w:val="en-US" w:eastAsia="zh-CN" w:bidi="ar-SA"/>
    </w:rPr>
  </w:style>
  <w:style w:type="character" w:customStyle="1" w:styleId="50">
    <w:name w:val="副标题 Char"/>
    <w:link w:val="28"/>
    <w:qFormat/>
    <w:uiPriority w:val="11"/>
    <w:rPr>
      <w:rFonts w:ascii="Cambria" w:hAnsi="Cambria"/>
      <w:b/>
      <w:bCs/>
      <w:kern w:val="28"/>
      <w:sz w:val="28"/>
      <w:szCs w:val="32"/>
    </w:rPr>
  </w:style>
  <w:style w:type="character" w:customStyle="1" w:styleId="51">
    <w:name w:val="样式333 Char Char"/>
    <w:link w:val="52"/>
    <w:qFormat/>
    <w:uiPriority w:val="0"/>
    <w:rPr>
      <w:rFonts w:eastAsia="宋体"/>
      <w:b/>
      <w:color w:val="000000"/>
      <w:kern w:val="2"/>
      <w:sz w:val="28"/>
      <w:szCs w:val="28"/>
      <w:lang w:val="en-US" w:eastAsia="zh-CN" w:bidi="ar-SA"/>
    </w:rPr>
  </w:style>
  <w:style w:type="paragraph" w:customStyle="1" w:styleId="52">
    <w:name w:val="样式333"/>
    <w:basedOn w:val="1"/>
    <w:link w:val="51"/>
    <w:qFormat/>
    <w:uiPriority w:val="0"/>
    <w:pPr>
      <w:spacing w:line="360" w:lineRule="auto"/>
      <w:ind w:firstLine="561" w:firstLineChars="200"/>
    </w:pPr>
    <w:rPr>
      <w:b/>
      <w:color w:val="000000"/>
      <w:sz w:val="28"/>
      <w:szCs w:val="28"/>
    </w:rPr>
  </w:style>
  <w:style w:type="character" w:customStyle="1" w:styleId="53">
    <w:name w:val="样式 正文001 + 首行缩进:  2 字符 Char"/>
    <w:link w:val="54"/>
    <w:qFormat/>
    <w:uiPriority w:val="0"/>
    <w:rPr>
      <w:kern w:val="2"/>
      <w:sz w:val="24"/>
    </w:rPr>
  </w:style>
  <w:style w:type="paragraph" w:customStyle="1" w:styleId="54">
    <w:name w:val="样式 正文001 + 首行缩进:  2 字符"/>
    <w:basedOn w:val="1"/>
    <w:link w:val="53"/>
    <w:qFormat/>
    <w:uiPriority w:val="0"/>
    <w:pPr>
      <w:spacing w:line="500" w:lineRule="atLeast"/>
      <w:ind w:firstLine="480" w:firstLineChars="200"/>
    </w:pPr>
    <w:rPr>
      <w:sz w:val="24"/>
      <w:szCs w:val="20"/>
    </w:rPr>
  </w:style>
  <w:style w:type="character" w:customStyle="1" w:styleId="55">
    <w:name w:val="正文01 Char Char"/>
    <w:link w:val="56"/>
    <w:qFormat/>
    <w:uiPriority w:val="0"/>
    <w:rPr>
      <w:rFonts w:eastAsia="宋体"/>
      <w:kern w:val="2"/>
      <w:sz w:val="24"/>
      <w:lang w:val="en-US" w:eastAsia="zh-CN" w:bidi="ar-SA"/>
    </w:rPr>
  </w:style>
  <w:style w:type="paragraph" w:customStyle="1" w:styleId="56">
    <w:name w:val="正文01"/>
    <w:basedOn w:val="9"/>
    <w:link w:val="55"/>
    <w:qFormat/>
    <w:uiPriority w:val="0"/>
    <w:pPr>
      <w:spacing w:line="360" w:lineRule="auto"/>
      <w:ind w:firstLine="480"/>
    </w:pPr>
    <w:rPr>
      <w:sz w:val="24"/>
      <w:szCs w:val="20"/>
    </w:rPr>
  </w:style>
  <w:style w:type="character" w:customStyle="1" w:styleId="57">
    <w:name w:val="正文001 Char"/>
    <w:link w:val="58"/>
    <w:qFormat/>
    <w:uiPriority w:val="0"/>
    <w:rPr>
      <w:rFonts w:ascii="Arial" w:hAnsi="Arial"/>
      <w:kern w:val="2"/>
      <w:sz w:val="24"/>
    </w:rPr>
  </w:style>
  <w:style w:type="paragraph" w:customStyle="1" w:styleId="58">
    <w:name w:val="正文001"/>
    <w:basedOn w:val="1"/>
    <w:link w:val="57"/>
    <w:qFormat/>
    <w:uiPriority w:val="0"/>
    <w:pPr>
      <w:spacing w:before="60" w:line="460" w:lineRule="exact"/>
      <w:ind w:firstLine="200" w:firstLineChars="200"/>
    </w:pPr>
    <w:rPr>
      <w:rFonts w:ascii="Arial" w:hAnsi="Arial"/>
      <w:sz w:val="24"/>
      <w:szCs w:val="20"/>
    </w:rPr>
  </w:style>
  <w:style w:type="character" w:customStyle="1" w:styleId="59">
    <w:name w:val="正文缩进 Char1"/>
    <w:qFormat/>
    <w:uiPriority w:val="0"/>
    <w:rPr>
      <w:rFonts w:eastAsia="宋体"/>
      <w:kern w:val="2"/>
      <w:sz w:val="21"/>
      <w:szCs w:val="24"/>
      <w:lang w:val="en-US" w:eastAsia="zh-CN" w:bidi="ar-SA"/>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font31"/>
    <w:basedOn w:val="41"/>
    <w:qFormat/>
    <w:uiPriority w:val="0"/>
    <w:rPr>
      <w:rFonts w:hint="default" w:ascii="Times New Roman" w:hAnsi="Times New Roman" w:cs="Times New Roman"/>
      <w:color w:val="000000"/>
      <w:sz w:val="18"/>
      <w:szCs w:val="18"/>
      <w:u w:val="none"/>
    </w:rPr>
  </w:style>
  <w:style w:type="character" w:customStyle="1" w:styleId="62">
    <w:name w:val="font01"/>
    <w:qFormat/>
    <w:uiPriority w:val="0"/>
    <w:rPr>
      <w:rFonts w:hint="default" w:ascii="Times New Roman" w:hAnsi="Times New Roman" w:cs="Times New Roman"/>
      <w:color w:val="000000"/>
      <w:sz w:val="20"/>
      <w:szCs w:val="20"/>
      <w:u w:val="none"/>
    </w:rPr>
  </w:style>
  <w:style w:type="character" w:customStyle="1" w:styleId="63">
    <w:name w:val="样式1 Char Char"/>
    <w:qFormat/>
    <w:uiPriority w:val="0"/>
    <w:rPr>
      <w:rFonts w:eastAsia="宋体"/>
      <w:kern w:val="2"/>
      <w:sz w:val="24"/>
      <w:lang w:val="en-US" w:eastAsia="zh-CN" w:bidi="ar-SA"/>
    </w:rPr>
  </w:style>
  <w:style w:type="character" w:customStyle="1" w:styleId="64">
    <w:name w:val="正文首行缩进 2 Char"/>
    <w:basedOn w:val="65"/>
    <w:link w:val="36"/>
    <w:qFormat/>
    <w:uiPriority w:val="0"/>
  </w:style>
  <w:style w:type="character" w:customStyle="1" w:styleId="65">
    <w:name w:val="正文文本缩进 Char"/>
    <w:link w:val="17"/>
    <w:qFormat/>
    <w:uiPriority w:val="0"/>
    <w:rPr>
      <w:kern w:val="2"/>
      <w:sz w:val="21"/>
      <w:szCs w:val="24"/>
    </w:rPr>
  </w:style>
  <w:style w:type="character" w:customStyle="1" w:styleId="66">
    <w:name w:val="正文缩进 Char"/>
    <w:link w:val="9"/>
    <w:qFormat/>
    <w:uiPriority w:val="0"/>
    <w:rPr>
      <w:kern w:val="2"/>
      <w:sz w:val="21"/>
      <w:szCs w:val="24"/>
    </w:rPr>
  </w:style>
  <w:style w:type="character" w:customStyle="1" w:styleId="67">
    <w:name w:val="样式1 Char"/>
    <w:link w:val="68"/>
    <w:qFormat/>
    <w:uiPriority w:val="0"/>
    <w:rPr>
      <w:kern w:val="2"/>
      <w:sz w:val="24"/>
    </w:rPr>
  </w:style>
  <w:style w:type="paragraph" w:customStyle="1" w:styleId="68">
    <w:name w:val="样式1"/>
    <w:basedOn w:val="1"/>
    <w:link w:val="67"/>
    <w:qFormat/>
    <w:uiPriority w:val="0"/>
    <w:pPr>
      <w:spacing w:line="560" w:lineRule="exact"/>
      <w:ind w:firstLine="567"/>
    </w:pPr>
    <w:rPr>
      <w:sz w:val="24"/>
      <w:szCs w:val="20"/>
    </w:rPr>
  </w:style>
  <w:style w:type="character" w:customStyle="1" w:styleId="69">
    <w:name w:val="表格正文 Char"/>
    <w:link w:val="70"/>
    <w:qFormat/>
    <w:uiPriority w:val="0"/>
    <w:rPr>
      <w:snapToGrid w:val="0"/>
      <w:sz w:val="21"/>
      <w:szCs w:val="24"/>
    </w:rPr>
  </w:style>
  <w:style w:type="paragraph" w:customStyle="1" w:styleId="70">
    <w:name w:val="表格正文"/>
    <w:basedOn w:val="1"/>
    <w:link w:val="69"/>
    <w:qFormat/>
    <w:uiPriority w:val="0"/>
    <w:pPr>
      <w:spacing w:line="360" w:lineRule="exact"/>
      <w:jc w:val="center"/>
    </w:pPr>
    <w:rPr>
      <w:snapToGrid w:val="0"/>
      <w:kern w:val="0"/>
    </w:rPr>
  </w:style>
  <w:style w:type="character" w:customStyle="1" w:styleId="71">
    <w:name w:val="标题 Char"/>
    <w:link w:val="34"/>
    <w:qFormat/>
    <w:uiPriority w:val="0"/>
    <w:rPr>
      <w:b/>
      <w:bCs/>
      <w:kern w:val="2"/>
      <w:sz w:val="32"/>
      <w:szCs w:val="32"/>
    </w:rPr>
  </w:style>
  <w:style w:type="character" w:customStyle="1" w:styleId="72">
    <w:name w:val="页眉 Char"/>
    <w:link w:val="26"/>
    <w:qFormat/>
    <w:uiPriority w:val="99"/>
    <w:rPr>
      <w:kern w:val="2"/>
      <w:sz w:val="18"/>
      <w:szCs w:val="18"/>
    </w:rPr>
  </w:style>
  <w:style w:type="character" w:customStyle="1" w:styleId="73">
    <w:name w:val="副标题 Char1"/>
    <w:qFormat/>
    <w:uiPriority w:val="0"/>
    <w:rPr>
      <w:rFonts w:ascii="Cambria" w:hAnsi="Cambria" w:cs="Times New Roman"/>
      <w:b/>
      <w:bCs/>
      <w:kern w:val="28"/>
      <w:sz w:val="32"/>
      <w:szCs w:val="32"/>
    </w:rPr>
  </w:style>
  <w:style w:type="character" w:customStyle="1" w:styleId="74">
    <w:name w:val="验收报告-正文 Char"/>
    <w:link w:val="75"/>
    <w:qFormat/>
    <w:uiPriority w:val="0"/>
    <w:rPr>
      <w:rFonts w:ascii="宋体" w:hAnsi="宋体"/>
      <w:sz w:val="28"/>
      <w:szCs w:val="24"/>
      <w:lang w:val="en-US" w:eastAsia="zh-CN" w:bidi="ar-SA"/>
    </w:rPr>
  </w:style>
  <w:style w:type="paragraph" w:customStyle="1" w:styleId="75">
    <w:name w:val="验收报告-正文"/>
    <w:link w:val="74"/>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paragraph" w:customStyle="1" w:styleId="76">
    <w:name w:val="zzzzzzz"/>
    <w:basedOn w:val="20"/>
    <w:next w:val="20"/>
    <w:qFormat/>
    <w:uiPriority w:val="0"/>
    <w:pPr>
      <w:spacing w:after="120" w:line="360" w:lineRule="auto"/>
      <w:ind w:firstLine="420" w:firstLineChars="200"/>
    </w:pPr>
    <w:rPr>
      <w:rFonts w:ascii="Times New Roman" w:hAnsi="Times New Roman"/>
      <w:kern w:val="0"/>
      <w:sz w:val="24"/>
    </w:rPr>
  </w:style>
  <w:style w:type="paragraph" w:customStyle="1" w:styleId="77">
    <w:name w:val="Table Paragraph"/>
    <w:basedOn w:val="1"/>
    <w:qFormat/>
    <w:uiPriority w:val="1"/>
    <w:pPr>
      <w:jc w:val="center"/>
    </w:pPr>
    <w:rPr>
      <w:rFonts w:ascii="宋体" w:hAnsi="宋体" w:cs="宋体"/>
    </w:rPr>
  </w:style>
  <w:style w:type="paragraph" w:customStyle="1" w:styleId="78">
    <w:name w:val="验收报告-条"/>
    <w:qFormat/>
    <w:uiPriority w:val="0"/>
    <w:pPr>
      <w:widowControl w:val="0"/>
      <w:adjustRightInd w:val="0"/>
      <w:snapToGrid w:val="0"/>
      <w:spacing w:line="360" w:lineRule="auto"/>
      <w:ind w:left="435" w:firstLine="227"/>
      <w:outlineLvl w:val="2"/>
    </w:pPr>
    <w:rPr>
      <w:rFonts w:ascii="宋体" w:hAnsi="宋体" w:eastAsia="宋体" w:cs="Times New Roman"/>
      <w:bCs/>
      <w:sz w:val="28"/>
      <w:szCs w:val="32"/>
      <w:lang w:val="en-US" w:eastAsia="zh-CN" w:bidi="ar-SA"/>
    </w:rPr>
  </w:style>
  <w:style w:type="paragraph" w:customStyle="1" w:styleId="79">
    <w:name w:val="验收报告-项"/>
    <w:next w:val="1"/>
    <w:qFormat/>
    <w:uiPriority w:val="0"/>
    <w:pPr>
      <w:keepNext/>
      <w:widowControl w:val="0"/>
      <w:numPr>
        <w:ilvl w:val="1"/>
        <w:numId w:val="1"/>
      </w:numPr>
      <w:adjustRightInd w:val="0"/>
      <w:snapToGrid w:val="0"/>
      <w:spacing w:beforeLines="200" w:afterLines="100"/>
      <w:outlineLvl w:val="1"/>
    </w:pPr>
    <w:rPr>
      <w:rFonts w:ascii="宋体" w:hAnsi="宋体" w:eastAsia="宋体" w:cs="Times New Roman"/>
      <w:b/>
      <w:sz w:val="28"/>
      <w:lang w:val="en-US" w:eastAsia="zh-CN" w:bidi="ar-SA"/>
    </w:rPr>
  </w:style>
  <w:style w:type="paragraph" w:customStyle="1" w:styleId="80">
    <w:name w:val="样式1234"/>
    <w:basedOn w:val="1"/>
    <w:qFormat/>
    <w:uiPriority w:val="0"/>
    <w:pPr>
      <w:spacing w:line="360" w:lineRule="auto"/>
      <w:ind w:firstLine="561" w:firstLineChars="200"/>
    </w:pPr>
    <w:rPr>
      <w:rFonts w:ascii="宋体"/>
      <w:color w:val="000000"/>
      <w:kern w:val="0"/>
      <w:sz w:val="28"/>
      <w:szCs w:val="28"/>
    </w:rPr>
  </w:style>
  <w:style w:type="paragraph" w:customStyle="1" w:styleId="81">
    <w:name w:val="Char"/>
    <w:basedOn w:val="1"/>
    <w:qFormat/>
    <w:uiPriority w:val="0"/>
    <w:pPr>
      <w:tabs>
        <w:tab w:val="left" w:pos="845"/>
      </w:tabs>
      <w:ind w:left="420"/>
    </w:pPr>
    <w:rPr>
      <w:sz w:val="24"/>
    </w:rPr>
  </w:style>
  <w:style w:type="paragraph" w:customStyle="1" w:styleId="82">
    <w:name w:val="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3">
    <w:name w:val="p0"/>
    <w:basedOn w:val="1"/>
    <w:qFormat/>
    <w:uiPriority w:val="0"/>
    <w:pPr>
      <w:widowControl/>
    </w:pPr>
    <w:rPr>
      <w:kern w:val="0"/>
      <w:szCs w:val="21"/>
    </w:rPr>
  </w:style>
  <w:style w:type="paragraph" w:customStyle="1" w:styleId="84">
    <w:name w:val="TOC 标题1"/>
    <w:basedOn w:val="3"/>
    <w:next w:val="1"/>
    <w:qFormat/>
    <w:uiPriority w:val="39"/>
    <w:pPr>
      <w:keepLines/>
      <w:widowControl/>
      <w:tabs>
        <w:tab w:val="clear" w:pos="845"/>
      </w:tabs>
      <w:adjustRightInd/>
      <w:snapToGrid/>
      <w:spacing w:before="480" w:line="276" w:lineRule="auto"/>
      <w:outlineLvl w:val="9"/>
    </w:pPr>
    <w:rPr>
      <w:rFonts w:ascii="Cambria" w:hAnsi="Cambria"/>
      <w:bCs/>
      <w:color w:val="365F91"/>
      <w:kern w:val="0"/>
      <w:szCs w:val="28"/>
    </w:rPr>
  </w:style>
  <w:style w:type="paragraph" w:customStyle="1" w:styleId="85">
    <w:name w:val="报告"/>
    <w:basedOn w:val="1"/>
    <w:qFormat/>
    <w:uiPriority w:val="0"/>
    <w:pPr>
      <w:spacing w:beforeLines="30" w:afterLines="30" w:line="400" w:lineRule="atLeast"/>
      <w:ind w:left="400" w:leftChars="400" w:firstLine="200" w:firstLineChars="200"/>
    </w:pPr>
    <w:rPr>
      <w:sz w:val="24"/>
      <w:szCs w:val="20"/>
    </w:rPr>
  </w:style>
  <w:style w:type="paragraph" w:customStyle="1" w:styleId="86">
    <w:name w:val="验收报告-正文列表1."/>
    <w:basedOn w:val="75"/>
    <w:qFormat/>
    <w:uiPriority w:val="0"/>
    <w:pPr>
      <w:tabs>
        <w:tab w:val="left" w:pos="630"/>
        <w:tab w:val="left" w:pos="1050"/>
      </w:tabs>
      <w:spacing w:beforeLines="50"/>
      <w:ind w:firstLine="560"/>
      <w:outlineLvl w:val="2"/>
    </w:pPr>
  </w:style>
  <w:style w:type="paragraph" w:customStyle="1" w:styleId="87">
    <w:name w:val="条"/>
    <w:basedOn w:val="5"/>
    <w:next w:val="16"/>
    <w:qFormat/>
    <w:uiPriority w:val="0"/>
    <w:pPr>
      <w:keepNext w:val="0"/>
      <w:keepLines w:val="0"/>
      <w:spacing w:beforeLines="50"/>
      <w:ind w:left="-420" w:firstLine="704"/>
    </w:pPr>
    <w:rPr>
      <w:rFonts w:ascii="宋体"/>
      <w:b w:val="0"/>
    </w:rPr>
  </w:style>
  <w:style w:type="paragraph" w:customStyle="1" w:styleId="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90">
    <w:name w:val="项"/>
    <w:basedOn w:val="16"/>
    <w:qFormat/>
    <w:uiPriority w:val="0"/>
    <w:pPr>
      <w:keepNext/>
      <w:tabs>
        <w:tab w:val="left" w:pos="720"/>
      </w:tabs>
      <w:spacing w:beforeLines="100" w:afterLines="100" w:line="240" w:lineRule="auto"/>
      <w:ind w:firstLine="0" w:firstLineChars="0"/>
      <w:outlineLvl w:val="1"/>
    </w:pPr>
    <w:rPr>
      <w:b/>
      <w:bCs/>
    </w:rPr>
  </w:style>
  <w:style w:type="paragraph" w:customStyle="1" w:styleId="91">
    <w:name w:val="验收报告-章"/>
    <w:next w:val="1"/>
    <w:qFormat/>
    <w:uiPriority w:val="0"/>
    <w:pPr>
      <w:keepNext/>
      <w:widowControl w:val="0"/>
      <w:numPr>
        <w:ilvl w:val="0"/>
        <w:numId w:val="1"/>
      </w:numPr>
      <w:adjustRightInd w:val="0"/>
      <w:snapToGrid w:val="0"/>
      <w:spacing w:beforeLines="350" w:afterLines="250"/>
      <w:jc w:val="center"/>
      <w:outlineLvl w:val="0"/>
    </w:pPr>
    <w:rPr>
      <w:rFonts w:ascii="宋体" w:hAnsi="宋体" w:eastAsia="宋体" w:cs="Times New Roman"/>
      <w:b/>
      <w:sz w:val="32"/>
      <w:lang w:val="en-US" w:eastAsia="zh-CN" w:bidi="ar-SA"/>
    </w:rPr>
  </w:style>
  <w:style w:type="paragraph" w:customStyle="1" w:styleId="92">
    <w:name w:val="表格001"/>
    <w:basedOn w:val="1"/>
    <w:qFormat/>
    <w:uiPriority w:val="0"/>
    <w:pPr>
      <w:jc w:val="center"/>
    </w:pPr>
    <w:rPr>
      <w:szCs w:val="20"/>
    </w:rPr>
  </w:style>
  <w:style w:type="paragraph" w:customStyle="1" w:styleId="93">
    <w:name w:val="正文+宋体"/>
    <w:basedOn w:val="78"/>
    <w:qFormat/>
    <w:uiPriority w:val="0"/>
    <w:pPr>
      <w:snapToGrid/>
      <w:ind w:left="34" w:leftChars="16" w:firstLine="560" w:firstLineChars="200"/>
      <w:outlineLvl w:val="9"/>
    </w:pPr>
    <w:rPr>
      <w:color w:val="000000"/>
    </w:rPr>
  </w:style>
  <w:style w:type="paragraph" w:customStyle="1" w:styleId="94">
    <w:name w:val="Char Char Char"/>
    <w:basedOn w:val="1"/>
    <w:qFormat/>
    <w:uiPriority w:val="0"/>
    <w:rPr>
      <w:sz w:val="24"/>
    </w:rPr>
  </w:style>
  <w:style w:type="paragraph" w:customStyle="1" w:styleId="95">
    <w:name w:val="标题02"/>
    <w:basedOn w:val="4"/>
    <w:next w:val="1"/>
    <w:qFormat/>
    <w:uiPriority w:val="0"/>
    <w:pPr>
      <w:spacing w:before="320" w:line="360" w:lineRule="auto"/>
    </w:pPr>
    <w:rPr>
      <w:rFonts w:ascii="Times New Roman" w:hAnsi="Times New Roman" w:eastAsia="宋体"/>
      <w:bCs w:val="0"/>
      <w:sz w:val="36"/>
      <w:szCs w:val="20"/>
    </w:rPr>
  </w:style>
  <w:style w:type="paragraph" w:customStyle="1" w:styleId="96">
    <w:name w:val="验收报告-款"/>
    <w:qFormat/>
    <w:uiPriority w:val="0"/>
    <w:pPr>
      <w:widowControl w:val="0"/>
      <w:adjustRightInd w:val="0"/>
      <w:snapToGrid w:val="0"/>
      <w:spacing w:line="360" w:lineRule="auto"/>
      <w:ind w:firstLine="454" w:firstLineChars="100"/>
      <w:outlineLvl w:val="3"/>
    </w:pPr>
    <w:rPr>
      <w:rFonts w:ascii="宋体" w:hAnsi="宋体" w:eastAsia="宋体" w:cs="Times New Roman"/>
      <w:sz w:val="28"/>
      <w:lang w:val="en-US" w:eastAsia="zh-CN" w:bidi="ar-SA"/>
    </w:rPr>
  </w:style>
  <w:style w:type="paragraph" w:customStyle="1" w:styleId="97">
    <w:name w:val="标1"/>
    <w:basedOn w:val="28"/>
    <w:qFormat/>
    <w:uiPriority w:val="0"/>
    <w:pPr>
      <w:adjustRightInd w:val="0"/>
      <w:snapToGrid w:val="0"/>
      <w:spacing w:beforeLines="100" w:afterLines="100" w:line="360" w:lineRule="auto"/>
      <w:outlineLvl w:val="0"/>
    </w:pPr>
    <w:rPr>
      <w:rFonts w:ascii="Times New Roman" w:hAnsi="Times New Roman"/>
      <w:sz w:val="44"/>
      <w:szCs w:val="20"/>
    </w:rPr>
  </w:style>
  <w:style w:type="paragraph" w:styleId="98">
    <w:name w:val="List Paragraph"/>
    <w:basedOn w:val="1"/>
    <w:qFormat/>
    <w:uiPriority w:val="1"/>
    <w:pPr>
      <w:ind w:left="134" w:hanging="632"/>
    </w:pPr>
    <w:rPr>
      <w:rFonts w:ascii="宋体" w:hAnsi="宋体" w:cs="宋体"/>
    </w:rPr>
  </w:style>
  <w:style w:type="paragraph" w:customStyle="1" w:styleId="99">
    <w:name w:val="章"/>
    <w:basedOn w:val="1"/>
    <w:qFormat/>
    <w:uiPriority w:val="0"/>
    <w:pPr>
      <w:keepNext/>
      <w:adjustRightInd w:val="0"/>
      <w:spacing w:beforeLines="150" w:afterLines="200" w:line="360" w:lineRule="auto"/>
      <w:jc w:val="center"/>
    </w:pPr>
    <w:rPr>
      <w:b/>
      <w:bCs/>
      <w:sz w:val="32"/>
    </w:rPr>
  </w:style>
  <w:style w:type="paragraph" w:customStyle="1" w:styleId="100">
    <w:name w:val="款"/>
    <w:basedOn w:val="16"/>
    <w:qFormat/>
    <w:uiPriority w:val="0"/>
    <w:pPr>
      <w:ind w:firstLine="454" w:firstLineChars="0"/>
      <w:outlineLvl w:val="3"/>
    </w:pPr>
  </w:style>
  <w:style w:type="paragraph" w:customStyle="1" w:styleId="101">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1650F-70C4-4A5B-8F4A-1751BF2C03FB}">
  <ds:schemaRefs/>
</ds:datastoreItem>
</file>

<file path=docProps/app.xml><?xml version="1.0" encoding="utf-8"?>
<Properties xmlns="http://schemas.openxmlformats.org/officeDocument/2006/extended-properties" xmlns:vt="http://schemas.openxmlformats.org/officeDocument/2006/docPropsVTypes">
  <Template>Normal</Template>
  <Pages>100</Pages>
  <Words>22291</Words>
  <Characters>11173</Characters>
  <Lines>93</Lines>
  <Paragraphs>66</Paragraphs>
  <TotalTime>1</TotalTime>
  <ScaleCrop>false</ScaleCrop>
  <LinksUpToDate>false</LinksUpToDate>
  <CharactersWithSpaces>33398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2020-07-27T08:14:00Z</dcterms:created>
  <dc:creator>ohjc</dc:creator>
  <cp:lastModifiedBy>admin</cp:lastModifiedBy>
  <cp:lastPrinted>2015-07-24T01:36:00Z</cp:lastPrinted>
  <dcterms:modified xsi:type="dcterms:W3CDTF">2020-12-15T06:41:10Z</dcterms:modified>
  <dc:title>温州万唯五金有限公司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