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90"/>
        </w:tabs>
        <w:adjustRightInd w:val="0"/>
        <w:snapToGrid w:val="0"/>
        <w:spacing w:line="360" w:lineRule="auto"/>
        <w:ind w:left="420" w:leftChars="200"/>
        <w:jc w:val="center"/>
        <w:rPr>
          <w:rFonts w:hint="eastAsia" w:ascii="宋体" w:hAnsi="宋体"/>
          <w:b/>
          <w:sz w:val="32"/>
          <w:szCs w:val="36"/>
        </w:rPr>
      </w:pPr>
      <w:r>
        <w:rPr>
          <w:rFonts w:hint="eastAsia" w:ascii="宋体" w:hAnsi="宋体"/>
          <w:b/>
          <w:sz w:val="36"/>
          <w:szCs w:val="36"/>
          <w:lang w:eastAsia="zh-CN"/>
        </w:rPr>
        <w:t>温州泰昌铁塔制造有限公司</w:t>
      </w:r>
      <w:r>
        <w:rPr>
          <w:rFonts w:hint="eastAsia" w:ascii="宋体" w:hAnsi="宋体"/>
          <w:b/>
          <w:sz w:val="36"/>
          <w:szCs w:val="36"/>
          <w:lang w:val="en-US" w:eastAsia="zh-CN"/>
        </w:rPr>
        <w:t>泰昌集团输变电产业园(暂名)建设</w:t>
      </w:r>
      <w:r>
        <w:rPr>
          <w:rFonts w:hint="eastAsia" w:ascii="宋体" w:hAnsi="宋体"/>
          <w:b/>
          <w:sz w:val="36"/>
          <w:szCs w:val="36"/>
        </w:rPr>
        <w:t>项目竣工环境保护自行验收意见</w:t>
      </w:r>
    </w:p>
    <w:p>
      <w:pPr>
        <w:keepNext w:val="0"/>
        <w:keepLines w:val="0"/>
        <w:pageBreakBefore w:val="0"/>
        <w:widowControl w:val="0"/>
        <w:tabs>
          <w:tab w:val="left" w:pos="945"/>
        </w:tabs>
        <w:kinsoku/>
        <w:wordWrap/>
        <w:overflowPunct/>
        <w:topLinePunct w:val="0"/>
        <w:bidi w:val="0"/>
        <w:snapToGrid/>
        <w:spacing w:before="315" w:beforeAutospacing="0"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2019年1月2</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日，</w:t>
      </w:r>
      <w:r>
        <w:rPr>
          <w:rFonts w:hint="eastAsia" w:ascii="仿宋" w:hAnsi="仿宋" w:eastAsia="仿宋" w:cs="仿宋"/>
          <w:color w:val="000000"/>
          <w:sz w:val="28"/>
          <w:szCs w:val="28"/>
          <w:lang w:eastAsia="zh-CN"/>
        </w:rPr>
        <w:t>温州泰昌铁塔制造有限公司</w:t>
      </w:r>
      <w:r>
        <w:rPr>
          <w:rFonts w:hint="eastAsia" w:ascii="仿宋" w:hAnsi="仿宋" w:eastAsia="仿宋" w:cs="仿宋"/>
          <w:color w:val="000000"/>
          <w:sz w:val="28"/>
          <w:szCs w:val="28"/>
          <w:lang w:val="en-US" w:eastAsia="zh-CN"/>
        </w:rPr>
        <w:t>泰昌集团输变电产业园(暂名)</w:t>
      </w:r>
      <w:r>
        <w:rPr>
          <w:rFonts w:hint="eastAsia" w:ascii="仿宋" w:hAnsi="仿宋" w:eastAsia="仿宋" w:cs="仿宋"/>
          <w:color w:val="000000"/>
          <w:sz w:val="28"/>
          <w:szCs w:val="28"/>
        </w:rPr>
        <w:t>根据建设项目竣工环境保护验收监测报告并对照《建设项目竣工环境保护验收暂行办法》，严格依照国家有关法律法规、建设项目竣工环境保护验收技术指南、项目环境影响评价报告</w:t>
      </w:r>
      <w:r>
        <w:rPr>
          <w:rFonts w:hint="eastAsia" w:ascii="仿宋" w:hAnsi="仿宋" w:eastAsia="仿宋" w:cs="仿宋"/>
          <w:color w:val="000000"/>
          <w:sz w:val="28"/>
          <w:szCs w:val="28"/>
          <w:lang w:eastAsia="zh-CN"/>
        </w:rPr>
        <w:t>书</w:t>
      </w:r>
      <w:r>
        <w:rPr>
          <w:rFonts w:hint="eastAsia" w:ascii="仿宋" w:hAnsi="仿宋" w:eastAsia="仿宋" w:cs="仿宋"/>
          <w:color w:val="000000"/>
          <w:sz w:val="28"/>
          <w:szCs w:val="28"/>
          <w:lang w:val="en-US" w:eastAsia="zh-CN"/>
        </w:rPr>
        <w:t>及补充说明</w:t>
      </w:r>
      <w:r>
        <w:rPr>
          <w:rFonts w:hint="eastAsia" w:ascii="仿宋" w:hAnsi="仿宋" w:eastAsia="仿宋" w:cs="仿宋"/>
          <w:color w:val="000000"/>
          <w:sz w:val="28"/>
          <w:szCs w:val="28"/>
        </w:rPr>
        <w:t>和审批部门审批决定等要求对本项目竣工环境保护设施进行自主验收，提出自主验收意见如下：</w:t>
      </w:r>
    </w:p>
    <w:p>
      <w:pPr>
        <w:keepNext w:val="0"/>
        <w:keepLines w:val="0"/>
        <w:pageBreakBefore w:val="0"/>
        <w:widowControl w:val="0"/>
        <w:kinsoku/>
        <w:wordWrap/>
        <w:overflowPunct/>
        <w:topLinePunct w:val="0"/>
        <w:bidi w:val="0"/>
        <w:snapToGrid/>
        <w:spacing w:line="540" w:lineRule="exac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一、工程建设基本情况：</w:t>
      </w:r>
    </w:p>
    <w:p>
      <w:pPr>
        <w:keepNext w:val="0"/>
        <w:keepLines w:val="0"/>
        <w:pageBreakBefore w:val="0"/>
        <w:widowControl w:val="0"/>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温州泰昌铁塔制造有限公司</w:t>
      </w:r>
      <w:r>
        <w:rPr>
          <w:rFonts w:hint="eastAsia" w:ascii="仿宋" w:hAnsi="仿宋" w:eastAsia="仿宋" w:cs="仿宋"/>
          <w:color w:val="000000"/>
          <w:sz w:val="28"/>
          <w:szCs w:val="28"/>
          <w:lang w:val="en-US" w:eastAsia="zh-CN"/>
        </w:rPr>
        <w:t>泰昌集团输变电产业园(暂名)选址于温州空港新区金海1道919号泰昌输变电产业园，用地面积170.9亩，建筑面积67631.94平方米。</w:t>
      </w:r>
      <w:r>
        <w:rPr>
          <w:rFonts w:hint="eastAsia" w:ascii="仿宋" w:hAnsi="仿宋" w:eastAsia="仿宋" w:cs="仿宋"/>
          <w:color w:val="000000"/>
          <w:sz w:val="28"/>
          <w:szCs w:val="28"/>
        </w:rPr>
        <w:t>项目建设性质为</w:t>
      </w:r>
      <w:r>
        <w:rPr>
          <w:rFonts w:hint="eastAsia" w:ascii="仿宋" w:hAnsi="仿宋" w:eastAsia="仿宋" w:cs="仿宋"/>
          <w:color w:val="000000"/>
          <w:sz w:val="28"/>
          <w:szCs w:val="28"/>
          <w:lang w:val="en-US" w:eastAsia="zh-CN"/>
        </w:rPr>
        <w:t>迁扩建</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于2018年11月委托浙江中蓝环境科技有限公司编制完成了《泰昌集团输变电产业园(暂名)环境影响报告书》，</w:t>
      </w:r>
      <w:r>
        <w:rPr>
          <w:rFonts w:hint="eastAsia" w:ascii="仿宋" w:hAnsi="仿宋" w:eastAsia="仿宋" w:cs="仿宋"/>
          <w:color w:val="000000"/>
          <w:sz w:val="28"/>
          <w:szCs w:val="28"/>
        </w:rPr>
        <w:t>项目</w:t>
      </w:r>
      <w:r>
        <w:rPr>
          <w:rFonts w:hint="eastAsia" w:ascii="仿宋" w:hAnsi="仿宋" w:eastAsia="仿宋" w:cs="仿宋"/>
          <w:color w:val="000000"/>
          <w:sz w:val="28"/>
          <w:szCs w:val="28"/>
          <w:lang w:val="en-US" w:eastAsia="zh-CN"/>
        </w:rPr>
        <w:t>于2018年12月15日通过温州市龙湾区环境保护局审查(龙环建审[2018]235号)</w:t>
      </w:r>
      <w:r>
        <w:rPr>
          <w:rFonts w:hint="eastAsia" w:ascii="仿宋" w:hAnsi="仿宋" w:eastAsia="仿宋" w:cs="仿宋"/>
          <w:color w:val="000000"/>
          <w:sz w:val="28"/>
          <w:szCs w:val="28"/>
        </w:rPr>
        <w:t>。项目实际总投资</w:t>
      </w:r>
      <w:r>
        <w:rPr>
          <w:rFonts w:hint="eastAsia" w:ascii="仿宋" w:hAnsi="仿宋" w:eastAsia="仿宋" w:cs="仿宋"/>
          <w:color w:val="000000"/>
          <w:sz w:val="28"/>
          <w:szCs w:val="28"/>
          <w:lang w:val="en-US" w:eastAsia="zh-CN"/>
        </w:rPr>
        <w:t>76315万元，其中环保投资613万元，占总投资额的0.8%</w:t>
      </w:r>
      <w:r>
        <w:rPr>
          <w:rFonts w:hint="eastAsia" w:ascii="仿宋" w:hAnsi="仿宋" w:eastAsia="仿宋" w:cs="仿宋"/>
          <w:color w:val="000000"/>
          <w:sz w:val="28"/>
          <w:szCs w:val="28"/>
        </w:rPr>
        <w:t>。目前该项目主要生产设施和环保设施运行正常，具备了环境保护竣工验收监测的条件。</w:t>
      </w:r>
    </w:p>
    <w:p>
      <w:pPr>
        <w:keepNext w:val="0"/>
        <w:keepLines w:val="0"/>
        <w:pageBreakBefore w:val="0"/>
        <w:widowControl w:val="0"/>
        <w:numPr>
          <w:ilvl w:val="0"/>
          <w:numId w:val="1"/>
        </w:numPr>
        <w:kinsoku/>
        <w:wordWrap/>
        <w:overflowPunct/>
        <w:topLinePunct w:val="0"/>
        <w:bidi w:val="0"/>
        <w:snapToGrid/>
        <w:spacing w:line="540" w:lineRule="exac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工程变更情况</w:t>
      </w:r>
    </w:p>
    <w:p>
      <w:pPr>
        <w:keepNext w:val="0"/>
        <w:keepLines w:val="0"/>
        <w:pageBreakBefore w:val="0"/>
        <w:widowControl w:val="0"/>
        <w:kinsoku/>
        <w:wordWrap/>
        <w:overflowPunct/>
        <w:topLinePunct w:val="0"/>
        <w:bidi w:val="0"/>
        <w:snapToGrid/>
        <w:spacing w:line="540" w:lineRule="exact"/>
        <w:ind w:firstLine="420" w:firstLineChars="15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经现场调查确认，企业实际</w:t>
      </w:r>
      <w:r>
        <w:rPr>
          <w:rFonts w:hint="eastAsia" w:ascii="仿宋" w:hAnsi="仿宋" w:eastAsia="仿宋" w:cs="仿宋"/>
          <w:color w:val="000000"/>
          <w:sz w:val="28"/>
          <w:szCs w:val="28"/>
          <w:lang w:eastAsia="zh-CN"/>
        </w:rPr>
        <w:t>建设情况与环评内容基本一致</w:t>
      </w:r>
      <w:r>
        <w:rPr>
          <w:rFonts w:hint="eastAsia" w:ascii="仿宋" w:hAnsi="仿宋" w:eastAsia="仿宋" w:cs="仿宋"/>
          <w:color w:val="000000"/>
          <w:sz w:val="28"/>
          <w:szCs w:val="28"/>
        </w:rPr>
        <w:t>。</w:t>
      </w:r>
    </w:p>
    <w:p>
      <w:pPr>
        <w:keepNext w:val="0"/>
        <w:keepLines w:val="0"/>
        <w:pageBreakBefore w:val="0"/>
        <w:widowControl w:val="0"/>
        <w:numPr>
          <w:ilvl w:val="0"/>
          <w:numId w:val="1"/>
        </w:numPr>
        <w:kinsoku/>
        <w:wordWrap/>
        <w:overflowPunct/>
        <w:topLinePunct w:val="0"/>
        <w:bidi w:val="0"/>
        <w:snapToGrid/>
        <w:spacing w:line="540" w:lineRule="exac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环境保护设施落实情况</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（一）废水</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本项目</w:t>
      </w:r>
      <w:r>
        <w:rPr>
          <w:rFonts w:hint="eastAsia" w:ascii="仿宋" w:hAnsi="仿宋" w:eastAsia="仿宋" w:cs="仿宋"/>
          <w:color w:val="000000"/>
          <w:sz w:val="28"/>
          <w:szCs w:val="28"/>
          <w:lang w:val="en-US" w:eastAsia="zh-CN"/>
        </w:rPr>
        <w:t>废水主要为水封废水、稀释盐酸废水、配助镀剂废水、酸雾吸收废水、钝化液调配废水、冷却水、食堂废水及员工生活废水，其中水封用水、酸雾吸收废水、稀释盐酸废水、配助镀剂废水、钝化液调配废水、冷却水循环使用，定期添加不外排，稀释盐酸废水产生的废酸收集后委托温州西子蓝环保科技有限公司清运处置；水封废水、酸雾吸收废水、冷却水定期更换时回用于稀释盐酸用水；食堂废水经隔油池处理后汇同生活污水经化粪池处理达《温州市东片污水处理厂纳管标准》纳管排放，纳管至温州市东片污水处理厂处理达到《城镇污水处理厂污染物排放标准》（GB18918-2002）一级A标准后排入瓯江</w:t>
      </w:r>
      <w:r>
        <w:rPr>
          <w:rFonts w:hint="eastAsia" w:ascii="仿宋" w:hAnsi="仿宋" w:eastAsia="仿宋" w:cs="仿宋"/>
          <w:color w:val="000000"/>
          <w:sz w:val="28"/>
          <w:szCs w:val="28"/>
          <w:lang w:eastAsia="zh-CN"/>
        </w:rPr>
        <w:t>。</w:t>
      </w:r>
    </w:p>
    <w:p>
      <w:pPr>
        <w:keepNext w:val="0"/>
        <w:keepLines w:val="0"/>
        <w:pageBreakBefore w:val="0"/>
        <w:widowControl w:val="0"/>
        <w:numPr>
          <w:ilvl w:val="0"/>
          <w:numId w:val="2"/>
        </w:numPr>
        <w:kinsoku/>
        <w:wordWrap/>
        <w:overflowPunct/>
        <w:topLinePunct w:val="0"/>
        <w:bidi w:val="0"/>
        <w:snapToGrid/>
        <w:spacing w:line="540" w:lineRule="exact"/>
        <w:ind w:firstLine="64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废气</w:t>
      </w:r>
    </w:p>
    <w:p>
      <w:pPr>
        <w:keepNext w:val="0"/>
        <w:keepLines w:val="0"/>
        <w:pageBreakBefore w:val="0"/>
        <w:widowControl w:val="0"/>
        <w:tabs>
          <w:tab w:val="left" w:pos="757"/>
        </w:tabs>
        <w:kinsoku/>
        <w:wordWrap/>
        <w:overflowPunct/>
        <w:topLinePunct w:val="0"/>
        <w:bidi w:val="0"/>
        <w:spacing w:line="540" w:lineRule="exact"/>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项目产生的</w:t>
      </w:r>
      <w:r>
        <w:rPr>
          <w:rFonts w:hint="eastAsia" w:ascii="仿宋" w:hAnsi="仿宋" w:eastAsia="仿宋" w:cs="仿宋"/>
          <w:color w:val="000000"/>
          <w:sz w:val="28"/>
          <w:szCs w:val="28"/>
        </w:rPr>
        <w:t>主要废气污染物为污染物为颗粒物、氨、氯化氢</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烟尘、二氧化硫、氮氧化物</w:t>
      </w:r>
      <w:r>
        <w:rPr>
          <w:rFonts w:hint="eastAsia" w:ascii="仿宋" w:hAnsi="仿宋" w:eastAsia="仿宋" w:cs="仿宋"/>
          <w:color w:val="000000"/>
          <w:sz w:val="28"/>
          <w:szCs w:val="28"/>
          <w:lang w:eastAsia="zh-CN"/>
        </w:rPr>
        <w:t>、油烟</w:t>
      </w:r>
      <w:r>
        <w:rPr>
          <w:rFonts w:hint="eastAsia" w:ascii="仿宋" w:hAnsi="仿宋" w:eastAsia="仿宋" w:cs="仿宋"/>
          <w:color w:val="000000"/>
          <w:sz w:val="28"/>
          <w:szCs w:val="28"/>
          <w:lang w:val="en-US" w:eastAsia="zh-CN"/>
        </w:rPr>
        <w:t>。酸洗废气集气后经二级水喷淋塔净化处理达标后引至18米高空排放。镀锌废气集气后经布袋除尘器净化处理达标后引至18米高空排放。燃烧废气集气后经管道引至21米高空排放。食堂</w:t>
      </w:r>
      <w:r>
        <w:rPr>
          <w:rFonts w:hint="eastAsia" w:ascii="仿宋" w:hAnsi="仿宋" w:eastAsia="仿宋" w:cs="仿宋"/>
          <w:color w:val="000000"/>
          <w:sz w:val="28"/>
          <w:szCs w:val="28"/>
          <w:lang w:eastAsia="zh-CN"/>
        </w:rPr>
        <w:t>油烟</w:t>
      </w:r>
      <w:r>
        <w:rPr>
          <w:rFonts w:hint="eastAsia" w:ascii="仿宋" w:hAnsi="仿宋" w:eastAsia="仿宋" w:cs="仿宋"/>
          <w:color w:val="000000"/>
          <w:sz w:val="28"/>
          <w:szCs w:val="28"/>
          <w:lang w:val="en-US" w:eastAsia="zh-CN"/>
        </w:rPr>
        <w:t>集气后经油烟净化器净化处理达标后引至25米高空排放。</w:t>
      </w:r>
    </w:p>
    <w:p>
      <w:pPr>
        <w:keepNext w:val="0"/>
        <w:keepLines w:val="0"/>
        <w:pageBreakBefore w:val="0"/>
        <w:widowControl w:val="0"/>
        <w:numPr>
          <w:ilvl w:val="0"/>
          <w:numId w:val="2"/>
        </w:numPr>
        <w:kinsoku/>
        <w:wordWrap/>
        <w:overflowPunct/>
        <w:topLinePunct w:val="0"/>
        <w:bidi w:val="0"/>
        <w:snapToGrid/>
        <w:spacing w:line="540" w:lineRule="exact"/>
        <w:ind w:firstLine="64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噪声</w:t>
      </w:r>
    </w:p>
    <w:p>
      <w:pPr>
        <w:keepNext w:val="0"/>
        <w:keepLines w:val="0"/>
        <w:pageBreakBefore w:val="0"/>
        <w:widowControl w:val="0"/>
        <w:tabs>
          <w:tab w:val="left" w:pos="757"/>
        </w:tabs>
        <w:kinsoku/>
        <w:wordWrap/>
        <w:overflowPunct/>
        <w:topLinePunct w:val="0"/>
        <w:bidi w:val="0"/>
        <w:snapToGri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该项目噪声源主要来自</w:t>
      </w:r>
      <w:r>
        <w:rPr>
          <w:rFonts w:hint="eastAsia" w:ascii="仿宋" w:hAnsi="仿宋" w:eastAsia="仿宋" w:cs="仿宋"/>
          <w:color w:val="000000"/>
          <w:sz w:val="28"/>
          <w:szCs w:val="28"/>
          <w:lang w:val="en-US" w:eastAsia="zh-CN"/>
        </w:rPr>
        <w:t>于机加工、钢件运输、废气处理风机等</w:t>
      </w:r>
      <w:r>
        <w:rPr>
          <w:rFonts w:hint="eastAsia" w:ascii="仿宋" w:hAnsi="仿宋" w:eastAsia="仿宋" w:cs="仿宋"/>
          <w:color w:val="000000"/>
          <w:sz w:val="28"/>
          <w:szCs w:val="28"/>
        </w:rPr>
        <w:t>设备运行产生的噪声，采用低噪声设备，采取隔声减震措施。</w:t>
      </w:r>
    </w:p>
    <w:p>
      <w:pPr>
        <w:keepNext w:val="0"/>
        <w:keepLines w:val="0"/>
        <w:pageBreakBefore w:val="0"/>
        <w:widowControl w:val="0"/>
        <w:numPr>
          <w:ilvl w:val="0"/>
          <w:numId w:val="2"/>
        </w:numPr>
        <w:kinsoku/>
        <w:wordWrap/>
        <w:overflowPunct/>
        <w:topLinePunct w:val="0"/>
        <w:bidi w:val="0"/>
        <w:snapToGrid/>
        <w:spacing w:line="540" w:lineRule="exact"/>
        <w:ind w:firstLine="64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固体废弃物</w:t>
      </w:r>
    </w:p>
    <w:p>
      <w:pPr>
        <w:keepNext w:val="0"/>
        <w:keepLines w:val="0"/>
        <w:pageBreakBefore w:val="0"/>
        <w:widowControl w:val="0"/>
        <w:tabs>
          <w:tab w:val="left" w:pos="757"/>
        </w:tabs>
        <w:kinsoku/>
        <w:wordWrap/>
        <w:overflowPunct/>
        <w:topLinePunct w:val="0"/>
        <w:bidi w:val="0"/>
        <w:snapToGrid/>
        <w:spacing w:line="540" w:lineRule="exact"/>
        <w:ind w:firstLine="560" w:firstLineChars="200"/>
        <w:textAlignment w:val="auto"/>
        <w:rPr>
          <w:rFonts w:hint="eastAsia" w:ascii="仿宋" w:hAnsi="仿宋" w:eastAsia="仿宋" w:cs="仿宋"/>
          <w:color w:val="000000"/>
          <w:sz w:val="28"/>
          <w:szCs w:val="28"/>
        </w:rPr>
      </w:pPr>
      <w:bookmarkStart w:id="0" w:name="OLE_LINK2"/>
      <w:r>
        <w:rPr>
          <w:rFonts w:hint="eastAsia" w:ascii="仿宋" w:hAnsi="仿宋" w:eastAsia="仿宋" w:cs="仿宋"/>
          <w:color w:val="000000"/>
          <w:sz w:val="28"/>
          <w:szCs w:val="28"/>
        </w:rPr>
        <w:t>项目主要固体废物为</w:t>
      </w:r>
      <w:r>
        <w:rPr>
          <w:rFonts w:hint="eastAsia" w:ascii="仿宋" w:hAnsi="仿宋" w:eastAsia="仿宋" w:cs="仿宋"/>
          <w:color w:val="000000"/>
          <w:sz w:val="28"/>
          <w:szCs w:val="28"/>
          <w:lang w:val="en-US" w:eastAsia="zh-CN"/>
        </w:rPr>
        <w:t>边角料、废酸、热镀锌灰及锌渣、废气处理收集锌烟、助镀液污泥、废乳化液、废弃包装物、一般包装材料及生活垃圾。其中木料边角料、锌灰及锌渣、一般包装材料收集后外售综合利用；废酸收集后交由温州西子蓝环保科技有限公司清运处置；废弃包装物由原厂家厂家回收处理；废气处理收集锌烟回用于助镀；助镀液污泥、废乳化液由于产生量很少，目前由企业自行暂存，远期达到委托有资质单位清运处置；员工日常生活垃圾收集后由环卫部门统一清运</w:t>
      </w:r>
      <w:r>
        <w:rPr>
          <w:rFonts w:hint="eastAsia" w:ascii="仿宋" w:hAnsi="仿宋" w:eastAsia="仿宋" w:cs="仿宋"/>
          <w:color w:val="000000"/>
          <w:sz w:val="28"/>
          <w:szCs w:val="28"/>
        </w:rPr>
        <w:t>。</w:t>
      </w:r>
      <w:bookmarkEnd w:id="0"/>
    </w:p>
    <w:p>
      <w:pPr>
        <w:keepNext w:val="0"/>
        <w:keepLines w:val="0"/>
        <w:pageBreakBefore w:val="0"/>
        <w:widowControl w:val="0"/>
        <w:kinsoku/>
        <w:wordWrap/>
        <w:overflowPunct/>
        <w:topLinePunct w:val="0"/>
        <w:bidi w:val="0"/>
        <w:snapToGrid/>
        <w:spacing w:line="540" w:lineRule="exac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四、环境保护设施调试效果</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1、污染物排放达标性</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（1）污水</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验收监测期间，</w:t>
      </w:r>
      <w:r>
        <w:rPr>
          <w:rFonts w:hint="eastAsia" w:ascii="仿宋" w:hAnsi="仿宋" w:eastAsia="仿宋" w:cs="仿宋"/>
          <w:color w:val="000000"/>
          <w:sz w:val="28"/>
          <w:szCs w:val="28"/>
          <w:lang w:val="en-US" w:eastAsia="zh-CN"/>
        </w:rPr>
        <w:t>本项目</w:t>
      </w:r>
      <w:r>
        <w:rPr>
          <w:rFonts w:hint="eastAsia" w:ascii="仿宋" w:hAnsi="仿宋" w:eastAsia="仿宋" w:cs="仿宋"/>
          <w:color w:val="000000"/>
          <w:sz w:val="28"/>
          <w:szCs w:val="28"/>
          <w:lang w:eastAsia="zh-CN"/>
        </w:rPr>
        <w:t>污水</w:t>
      </w:r>
      <w:r>
        <w:rPr>
          <w:rFonts w:hint="eastAsia" w:ascii="仿宋" w:hAnsi="仿宋" w:eastAsia="仿宋" w:cs="仿宋"/>
          <w:color w:val="000000"/>
          <w:sz w:val="28"/>
          <w:szCs w:val="28"/>
        </w:rPr>
        <w:t>排放口监测结果表明，pH值、化学需氧量、五日生化需氧量、悬浮物</w:t>
      </w:r>
      <w:r>
        <w:rPr>
          <w:rFonts w:hint="eastAsia" w:ascii="仿宋" w:hAnsi="仿宋" w:eastAsia="仿宋" w:cs="仿宋"/>
          <w:color w:val="000000"/>
          <w:sz w:val="28"/>
          <w:szCs w:val="28"/>
          <w:lang w:eastAsia="zh-CN"/>
        </w:rPr>
        <w:t>、石油类</w:t>
      </w:r>
      <w:r>
        <w:rPr>
          <w:rFonts w:hint="eastAsia" w:ascii="仿宋" w:hAnsi="仿宋" w:eastAsia="仿宋" w:cs="仿宋"/>
          <w:color w:val="000000"/>
          <w:sz w:val="28"/>
          <w:szCs w:val="28"/>
        </w:rPr>
        <w:t>排放浓度及其日均值均达到《</w:t>
      </w:r>
      <w:r>
        <w:rPr>
          <w:rFonts w:hint="eastAsia" w:ascii="仿宋" w:hAnsi="仿宋" w:eastAsia="仿宋" w:cs="仿宋"/>
          <w:color w:val="000000"/>
          <w:sz w:val="28"/>
          <w:szCs w:val="28"/>
          <w:lang w:eastAsia="zh-CN"/>
        </w:rPr>
        <w:t>温州市东片污水处理厂纳管标准</w:t>
      </w:r>
      <w:r>
        <w:rPr>
          <w:rFonts w:hint="eastAsia" w:ascii="仿宋" w:hAnsi="仿宋" w:eastAsia="仿宋" w:cs="仿宋"/>
          <w:color w:val="000000"/>
          <w:sz w:val="28"/>
          <w:szCs w:val="28"/>
        </w:rPr>
        <w:t>》(GB8978-1996)</w:t>
      </w:r>
      <w:r>
        <w:rPr>
          <w:rFonts w:hint="eastAsia" w:ascii="仿宋" w:hAnsi="仿宋" w:eastAsia="仿宋" w:cs="仿宋"/>
          <w:color w:val="000000"/>
          <w:sz w:val="28"/>
          <w:szCs w:val="28"/>
          <w:lang w:eastAsia="zh-CN"/>
        </w:rPr>
        <w:t>三</w:t>
      </w:r>
      <w:r>
        <w:rPr>
          <w:rFonts w:hint="eastAsia" w:ascii="仿宋" w:hAnsi="仿宋" w:eastAsia="仿宋" w:cs="仿宋"/>
          <w:color w:val="000000"/>
          <w:sz w:val="28"/>
          <w:szCs w:val="28"/>
        </w:rPr>
        <w:t>级标准</w:t>
      </w:r>
      <w:r>
        <w:rPr>
          <w:rFonts w:hint="eastAsia" w:ascii="仿宋" w:hAnsi="仿宋" w:eastAsia="仿宋" w:cs="仿宋"/>
          <w:color w:val="000000"/>
          <w:sz w:val="28"/>
          <w:szCs w:val="28"/>
          <w:lang w:eastAsia="zh-CN"/>
        </w:rPr>
        <w:t>，总氮排放浓度及其均值均达到《污水排入城镇下水道水质标准》（</w:t>
      </w:r>
      <w:r>
        <w:rPr>
          <w:rFonts w:hint="eastAsia" w:ascii="仿宋" w:hAnsi="仿宋" w:eastAsia="仿宋" w:cs="仿宋"/>
          <w:color w:val="000000"/>
          <w:sz w:val="28"/>
          <w:szCs w:val="28"/>
          <w:lang w:val="en-US" w:eastAsia="zh-CN"/>
        </w:rPr>
        <w:t>GB/T 31962-2015</w:t>
      </w:r>
      <w:r>
        <w:rPr>
          <w:rFonts w:hint="eastAsia" w:ascii="仿宋" w:hAnsi="仿宋" w:eastAsia="仿宋" w:cs="仿宋"/>
          <w:color w:val="000000"/>
          <w:sz w:val="28"/>
          <w:szCs w:val="28"/>
          <w:lang w:eastAsia="zh-CN"/>
        </w:rPr>
        <w:t>）浓度限值，氨氮</w:t>
      </w:r>
      <w:r>
        <w:rPr>
          <w:rFonts w:hint="eastAsia" w:ascii="仿宋" w:hAnsi="仿宋" w:eastAsia="仿宋" w:cs="仿宋"/>
          <w:color w:val="000000"/>
          <w:sz w:val="28"/>
          <w:szCs w:val="28"/>
        </w:rPr>
        <w:t xml:space="preserve">排放浓度及其日均值均达到《工业企业废水氮、磷污染物间接排放限值》(DB33/887-2013)浓度限值。 </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（2）废气</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验收监测期间，</w:t>
      </w:r>
      <w:r>
        <w:rPr>
          <w:rFonts w:hint="eastAsia" w:ascii="仿宋" w:hAnsi="仿宋" w:eastAsia="仿宋" w:cs="仿宋"/>
          <w:color w:val="000000"/>
          <w:sz w:val="28"/>
          <w:szCs w:val="28"/>
          <w:lang w:val="en-US" w:eastAsia="zh-CN"/>
        </w:rPr>
        <w:t>本项目</w:t>
      </w:r>
      <w:r>
        <w:rPr>
          <w:rFonts w:hint="eastAsia" w:ascii="仿宋" w:hAnsi="仿宋" w:eastAsia="仿宋" w:cs="仿宋"/>
          <w:color w:val="000000"/>
          <w:sz w:val="28"/>
          <w:szCs w:val="28"/>
        </w:rPr>
        <w:t>净化后排气筒的废气监测结果表明，</w:t>
      </w:r>
      <w:r>
        <w:rPr>
          <w:rFonts w:hint="eastAsia" w:ascii="仿宋" w:hAnsi="仿宋" w:eastAsia="仿宋" w:cs="仿宋"/>
          <w:color w:val="000000"/>
          <w:sz w:val="28"/>
          <w:szCs w:val="28"/>
          <w:lang w:val="en-US" w:eastAsia="zh-CN"/>
        </w:rPr>
        <w:t>颗粒物、氯化氢排放浓度、排放速率均达到《大气污染物综合排放标准》(GB16297-1996)中新污染源的二级标准；烟尘、二氧化硫、氮氧化物排放浓度均达到《锅炉大气污染物排放标准》(GB3271-2014)表3燃气锅炉特别排放限值；氨排放速率均达到《恶臭污染物排放标准》(GB14554-93)表2相应标准；油烟排放浓度均达到《饮食业油烟排放标准》(GB18483-2001)大型规模标准。</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color w:val="000000"/>
          <w:sz w:val="28"/>
          <w:szCs w:val="28"/>
        </w:rPr>
        <w:t>验收监测期间，</w:t>
      </w:r>
      <w:r>
        <w:rPr>
          <w:rFonts w:hint="eastAsia" w:ascii="仿宋" w:hAnsi="仿宋" w:eastAsia="仿宋" w:cs="仿宋"/>
          <w:color w:val="000000"/>
          <w:sz w:val="28"/>
          <w:szCs w:val="28"/>
          <w:lang w:val="en-US" w:eastAsia="zh-CN"/>
        </w:rPr>
        <w:t>根据项目实际情况于温州泰昌铁塔制造有限公司</w:t>
      </w:r>
      <w:r>
        <w:rPr>
          <w:rFonts w:hint="eastAsia" w:ascii="仿宋" w:hAnsi="仿宋" w:eastAsia="仿宋" w:cs="仿宋"/>
          <w:color w:val="000000"/>
          <w:sz w:val="28"/>
          <w:szCs w:val="28"/>
        </w:rPr>
        <w:t>厂界</w:t>
      </w:r>
      <w:r>
        <w:rPr>
          <w:rFonts w:hint="eastAsia" w:ascii="仿宋" w:hAnsi="仿宋" w:eastAsia="仿宋" w:cs="仿宋"/>
          <w:color w:val="000000"/>
          <w:sz w:val="28"/>
          <w:szCs w:val="28"/>
          <w:lang w:eastAsia="zh-CN"/>
        </w:rPr>
        <w:t>东北侧、东南侧、西南侧、西北侧</w:t>
      </w:r>
      <w:r>
        <w:rPr>
          <w:rFonts w:hint="eastAsia" w:ascii="仿宋" w:hAnsi="仿宋" w:eastAsia="仿宋" w:cs="仿宋"/>
          <w:color w:val="000000"/>
          <w:sz w:val="28"/>
          <w:szCs w:val="28"/>
          <w:lang w:val="en-US" w:eastAsia="zh-CN"/>
        </w:rPr>
        <w:t>布置4个监测点，验收监测期间，项目风向为东北风，风速＜5m/s，两天6次监测结果中，氯化氢排放浓度均达到《大气污染物综合排放标准》(GB16297-1996)中厂界无组织排放限值；氨、臭气浓度排放浓度均达到《恶臭污染物排放标准》(GB14554-93)表1厂界新改扩建二级标准</w:t>
      </w:r>
      <w:r>
        <w:rPr>
          <w:rFonts w:hint="eastAsia" w:ascii="仿宋" w:hAnsi="仿宋" w:eastAsia="仿宋" w:cs="仿宋"/>
          <w:color w:val="000000"/>
          <w:sz w:val="28"/>
          <w:szCs w:val="28"/>
          <w:lang w:eastAsia="zh-CN"/>
        </w:rPr>
        <w:t>。</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（3）噪声</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验收监测期间，根据实际情况于</w:t>
      </w:r>
      <w:r>
        <w:rPr>
          <w:rFonts w:hint="eastAsia" w:ascii="仿宋" w:hAnsi="仿宋" w:eastAsia="仿宋" w:cs="仿宋"/>
          <w:color w:val="000000"/>
          <w:sz w:val="28"/>
          <w:szCs w:val="28"/>
          <w:lang w:val="en-US" w:eastAsia="zh-CN"/>
        </w:rPr>
        <w:t>温州泰昌铁塔制造有限公司</w:t>
      </w:r>
      <w:r>
        <w:rPr>
          <w:rFonts w:hint="eastAsia" w:ascii="仿宋" w:hAnsi="仿宋" w:eastAsia="仿宋" w:cs="仿宋"/>
          <w:color w:val="000000"/>
          <w:sz w:val="28"/>
          <w:szCs w:val="28"/>
        </w:rPr>
        <w:t>厂界</w:t>
      </w:r>
      <w:r>
        <w:rPr>
          <w:rFonts w:hint="eastAsia" w:ascii="仿宋" w:hAnsi="仿宋" w:eastAsia="仿宋" w:cs="仿宋"/>
          <w:color w:val="000000"/>
          <w:sz w:val="28"/>
          <w:szCs w:val="28"/>
          <w:lang w:eastAsia="zh-CN"/>
        </w:rPr>
        <w:t>东北侧、东南侧、西南侧、</w:t>
      </w:r>
      <w:r>
        <w:rPr>
          <w:rFonts w:hint="eastAsia" w:ascii="仿宋" w:hAnsi="仿宋" w:eastAsia="仿宋" w:cs="仿宋"/>
          <w:color w:val="000000"/>
          <w:sz w:val="28"/>
          <w:szCs w:val="28"/>
        </w:rPr>
        <w:t>共设置4个噪声测点，其两天昼</w:t>
      </w:r>
      <w:r>
        <w:rPr>
          <w:rFonts w:hint="eastAsia" w:ascii="仿宋" w:hAnsi="仿宋" w:eastAsia="仿宋" w:cs="仿宋"/>
          <w:color w:val="000000"/>
          <w:sz w:val="28"/>
          <w:szCs w:val="28"/>
          <w:lang w:eastAsia="zh-CN"/>
        </w:rPr>
        <w:t>夜间</w:t>
      </w:r>
      <w:r>
        <w:rPr>
          <w:rFonts w:hint="eastAsia" w:ascii="仿宋" w:hAnsi="仿宋" w:eastAsia="仿宋" w:cs="仿宋"/>
          <w:color w:val="000000"/>
          <w:sz w:val="28"/>
          <w:szCs w:val="28"/>
        </w:rPr>
        <w:t>监测结果</w:t>
      </w:r>
      <w:r>
        <w:rPr>
          <w:rFonts w:hint="eastAsia" w:ascii="仿宋" w:hAnsi="仿宋" w:eastAsia="仿宋" w:cs="仿宋"/>
          <w:color w:val="000000"/>
          <w:sz w:val="28"/>
          <w:szCs w:val="28"/>
          <w:lang w:eastAsia="zh-CN"/>
        </w:rPr>
        <w:t>显示，</w:t>
      </w:r>
      <w:r>
        <w:rPr>
          <w:rFonts w:hint="eastAsia" w:ascii="仿宋" w:hAnsi="仿宋" w:eastAsia="仿宋" w:cs="仿宋"/>
          <w:color w:val="000000"/>
          <w:sz w:val="28"/>
          <w:szCs w:val="28"/>
        </w:rPr>
        <w:t>厂界</w:t>
      </w:r>
      <w:r>
        <w:rPr>
          <w:rFonts w:hint="eastAsia" w:ascii="仿宋" w:hAnsi="仿宋" w:eastAsia="仿宋" w:cs="仿宋"/>
          <w:color w:val="000000"/>
          <w:sz w:val="28"/>
          <w:szCs w:val="28"/>
          <w:lang w:eastAsia="zh-CN"/>
        </w:rPr>
        <w:t>东北侧、西南侧、西北侧噪声</w:t>
      </w:r>
      <w:r>
        <w:rPr>
          <w:rFonts w:hint="eastAsia" w:ascii="仿宋" w:hAnsi="仿宋" w:eastAsia="仿宋" w:cs="仿宋"/>
          <w:color w:val="000000"/>
          <w:sz w:val="28"/>
          <w:szCs w:val="28"/>
        </w:rPr>
        <w:t>均达到《工业企业厂界环境噪声排放标准》(GB12348-2008)</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类标准</w:t>
      </w:r>
      <w:r>
        <w:rPr>
          <w:rFonts w:hint="eastAsia" w:ascii="仿宋" w:hAnsi="仿宋" w:eastAsia="仿宋" w:cs="仿宋"/>
          <w:color w:val="000000"/>
          <w:sz w:val="28"/>
          <w:szCs w:val="28"/>
          <w:lang w:eastAsia="zh-CN"/>
        </w:rPr>
        <w:t>，东南侧达到</w:t>
      </w:r>
      <w:r>
        <w:rPr>
          <w:rFonts w:hint="eastAsia" w:ascii="仿宋" w:hAnsi="仿宋" w:eastAsia="仿宋" w:cs="仿宋"/>
          <w:color w:val="000000"/>
          <w:sz w:val="28"/>
          <w:szCs w:val="28"/>
          <w:lang w:val="en-US" w:eastAsia="zh-CN"/>
        </w:rPr>
        <w:t>3类标准</w:t>
      </w:r>
      <w:r>
        <w:rPr>
          <w:rFonts w:hint="eastAsia" w:ascii="仿宋" w:hAnsi="仿宋" w:eastAsia="仿宋" w:cs="仿宋"/>
          <w:color w:val="000000"/>
          <w:sz w:val="28"/>
          <w:szCs w:val="28"/>
          <w:lang w:eastAsia="zh-CN"/>
        </w:rPr>
        <w:t>。现场检测时，</w:t>
      </w:r>
      <w:r>
        <w:rPr>
          <w:rFonts w:hint="eastAsia" w:ascii="仿宋" w:hAnsi="仿宋" w:eastAsia="仿宋" w:cs="仿宋"/>
          <w:color w:val="000000"/>
          <w:sz w:val="28"/>
          <w:szCs w:val="28"/>
          <w:lang w:val="en-US" w:eastAsia="zh-CN"/>
        </w:rPr>
        <w:t>2号</w:t>
      </w:r>
      <w:r>
        <w:rPr>
          <w:rFonts w:hint="eastAsia" w:ascii="仿宋" w:hAnsi="仿宋" w:eastAsia="仿宋" w:cs="仿宋"/>
          <w:color w:val="000000"/>
          <w:sz w:val="28"/>
          <w:szCs w:val="28"/>
          <w:lang w:eastAsia="zh-CN"/>
        </w:rPr>
        <w:t>东南侧</w:t>
      </w:r>
      <w:r>
        <w:rPr>
          <w:rFonts w:hint="eastAsia" w:ascii="仿宋" w:hAnsi="仿宋" w:eastAsia="仿宋" w:cs="仿宋"/>
          <w:color w:val="000000"/>
          <w:sz w:val="28"/>
          <w:szCs w:val="28"/>
          <w:lang w:val="en-US" w:eastAsia="zh-CN"/>
        </w:rPr>
        <w:t>、3号</w:t>
      </w:r>
      <w:r>
        <w:rPr>
          <w:rFonts w:hint="eastAsia" w:ascii="仿宋" w:hAnsi="仿宋" w:eastAsia="仿宋" w:cs="仿宋"/>
          <w:color w:val="000000"/>
          <w:sz w:val="28"/>
          <w:szCs w:val="28"/>
          <w:lang w:eastAsia="zh-CN"/>
        </w:rPr>
        <w:t>西北侧</w:t>
      </w:r>
      <w:r>
        <w:rPr>
          <w:rFonts w:hint="eastAsia" w:ascii="仿宋" w:hAnsi="仿宋" w:eastAsia="仿宋" w:cs="仿宋"/>
          <w:color w:val="000000"/>
          <w:sz w:val="28"/>
          <w:szCs w:val="28"/>
          <w:lang w:val="en-US" w:eastAsia="zh-CN"/>
        </w:rPr>
        <w:t>测点主要声源为车间噪声，其余测点均无</w:t>
      </w:r>
      <w:r>
        <w:rPr>
          <w:rFonts w:hint="eastAsia" w:ascii="仿宋" w:hAnsi="仿宋" w:eastAsia="仿宋" w:cs="仿宋"/>
          <w:color w:val="000000"/>
          <w:sz w:val="28"/>
          <w:szCs w:val="28"/>
          <w:lang w:eastAsia="zh-CN"/>
        </w:rPr>
        <w:t>明显声源</w:t>
      </w:r>
      <w:r>
        <w:rPr>
          <w:rFonts w:hint="eastAsia" w:ascii="仿宋" w:hAnsi="仿宋" w:eastAsia="仿宋" w:cs="仿宋"/>
          <w:color w:val="000000"/>
          <w:sz w:val="28"/>
          <w:szCs w:val="28"/>
        </w:rPr>
        <w:t>。</w:t>
      </w:r>
    </w:p>
    <w:p>
      <w:pPr>
        <w:keepNext w:val="0"/>
        <w:keepLines w:val="0"/>
        <w:pageBreakBefore w:val="0"/>
        <w:widowControl w:val="0"/>
        <w:tabs>
          <w:tab w:val="left" w:pos="945"/>
        </w:tabs>
        <w:kinsoku/>
        <w:wordWrap/>
        <w:overflowPunct/>
        <w:topLinePunct w:val="0"/>
        <w:bidi w:val="0"/>
        <w:snapToGrid/>
        <w:spacing w:line="540" w:lineRule="exact"/>
        <w:ind w:firstLine="600"/>
        <w:textAlignment w:val="auto"/>
        <w:rPr>
          <w:rFonts w:hint="eastAsia" w:ascii="仿宋" w:hAnsi="仿宋" w:eastAsia="仿宋" w:cs="仿宋"/>
          <w:kern w:val="1"/>
          <w:sz w:val="28"/>
          <w:szCs w:val="28"/>
        </w:rPr>
      </w:pPr>
      <w:r>
        <w:rPr>
          <w:rFonts w:hint="eastAsia" w:ascii="仿宋" w:hAnsi="仿宋" w:eastAsia="仿宋" w:cs="仿宋"/>
          <w:kern w:val="1"/>
          <w:sz w:val="28"/>
          <w:szCs w:val="28"/>
          <w:lang w:val="en-US" w:eastAsia="zh-CN"/>
        </w:rPr>
        <w:t>2、</w:t>
      </w:r>
      <w:r>
        <w:rPr>
          <w:rFonts w:hint="eastAsia" w:ascii="仿宋" w:hAnsi="仿宋" w:eastAsia="仿宋" w:cs="仿宋"/>
          <w:kern w:val="1"/>
          <w:sz w:val="28"/>
          <w:szCs w:val="28"/>
        </w:rPr>
        <w:t>总量控制</w:t>
      </w:r>
    </w:p>
    <w:p>
      <w:pPr>
        <w:keepNext w:val="0"/>
        <w:keepLines w:val="0"/>
        <w:pageBreakBefore w:val="0"/>
        <w:widowControl w:val="0"/>
        <w:tabs>
          <w:tab w:val="left" w:pos="945"/>
        </w:tabs>
        <w:kinsoku/>
        <w:wordWrap/>
        <w:overflowPunct/>
        <w:topLinePunct w:val="0"/>
        <w:bidi w:val="0"/>
        <w:snapToGrid/>
        <w:spacing w:line="540" w:lineRule="exact"/>
        <w:ind w:firstLine="600"/>
        <w:textAlignment w:val="auto"/>
        <w:rPr>
          <w:rFonts w:hint="eastAsia" w:ascii="仿宋" w:hAnsi="仿宋" w:eastAsia="仿宋" w:cs="仿宋"/>
          <w:color w:val="0C0C0C"/>
          <w:kern w:val="1"/>
          <w:sz w:val="28"/>
          <w:szCs w:val="28"/>
        </w:rPr>
      </w:pPr>
      <w:r>
        <w:rPr>
          <w:rFonts w:hint="eastAsia" w:ascii="仿宋" w:hAnsi="仿宋" w:eastAsia="仿宋" w:cs="仿宋"/>
          <w:color w:val="0C0C0C"/>
          <w:kern w:val="1"/>
          <w:sz w:val="28"/>
          <w:szCs w:val="28"/>
        </w:rPr>
        <w:t>根据监测报告核算，企业</w:t>
      </w:r>
      <w:r>
        <w:rPr>
          <w:rFonts w:hint="eastAsia" w:ascii="仿宋" w:hAnsi="仿宋" w:eastAsia="仿宋" w:cs="仿宋"/>
          <w:color w:val="0C0C0C"/>
          <w:kern w:val="1"/>
          <w:sz w:val="28"/>
          <w:szCs w:val="28"/>
          <w:lang w:val="en-US" w:eastAsia="zh-CN"/>
        </w:rPr>
        <w:t>废水年排放量为7488吨</w:t>
      </w:r>
      <w:r>
        <w:rPr>
          <w:rFonts w:hint="eastAsia" w:ascii="仿宋" w:hAnsi="仿宋" w:eastAsia="仿宋" w:cs="仿宋"/>
          <w:color w:val="0C0C0C"/>
          <w:kern w:val="1"/>
          <w:sz w:val="28"/>
          <w:szCs w:val="28"/>
        </w:rPr>
        <w:t>，则废水主要污染物的年排放量化学需氧量0.</w:t>
      </w:r>
      <w:r>
        <w:rPr>
          <w:rFonts w:hint="eastAsia" w:ascii="仿宋" w:hAnsi="仿宋" w:eastAsia="仿宋" w:cs="仿宋"/>
          <w:color w:val="0C0C0C"/>
          <w:kern w:val="1"/>
          <w:sz w:val="28"/>
          <w:szCs w:val="28"/>
          <w:lang w:val="en-US" w:eastAsia="zh-CN"/>
        </w:rPr>
        <w:t>30</w:t>
      </w:r>
      <w:r>
        <w:rPr>
          <w:rFonts w:hint="eastAsia" w:ascii="仿宋" w:hAnsi="仿宋" w:eastAsia="仿宋" w:cs="仿宋"/>
          <w:color w:val="0C0C0C"/>
          <w:kern w:val="1"/>
          <w:sz w:val="28"/>
          <w:szCs w:val="28"/>
        </w:rPr>
        <w:t>t/a、氨氮0.0</w:t>
      </w:r>
      <w:r>
        <w:rPr>
          <w:rFonts w:hint="eastAsia" w:ascii="仿宋" w:hAnsi="仿宋" w:eastAsia="仿宋" w:cs="仿宋"/>
          <w:color w:val="0C0C0C"/>
          <w:kern w:val="1"/>
          <w:sz w:val="28"/>
          <w:szCs w:val="28"/>
          <w:lang w:val="en-US" w:eastAsia="zh-CN"/>
        </w:rPr>
        <w:t>30</w:t>
      </w:r>
      <w:r>
        <w:rPr>
          <w:rFonts w:hint="eastAsia" w:ascii="仿宋" w:hAnsi="仿宋" w:eastAsia="仿宋" w:cs="仿宋"/>
          <w:color w:val="0C0C0C"/>
          <w:kern w:val="1"/>
          <w:sz w:val="28"/>
          <w:szCs w:val="28"/>
        </w:rPr>
        <w:t>t/a</w:t>
      </w:r>
      <w:r>
        <w:rPr>
          <w:rFonts w:hint="eastAsia" w:ascii="仿宋" w:hAnsi="仿宋" w:eastAsia="仿宋" w:cs="仿宋"/>
          <w:color w:val="0C0C0C"/>
          <w:kern w:val="1"/>
          <w:sz w:val="28"/>
          <w:szCs w:val="28"/>
          <w:lang w:eastAsia="zh-CN"/>
        </w:rPr>
        <w:t>，废气主要污染物的年排放量二氧化硫</w:t>
      </w:r>
      <w:r>
        <w:rPr>
          <w:rFonts w:hint="eastAsia" w:ascii="仿宋" w:hAnsi="仿宋" w:eastAsia="仿宋" w:cs="仿宋"/>
          <w:color w:val="0C0C0C"/>
          <w:kern w:val="1"/>
          <w:sz w:val="28"/>
          <w:szCs w:val="28"/>
        </w:rPr>
        <w:t>0.</w:t>
      </w:r>
      <w:r>
        <w:rPr>
          <w:rFonts w:hint="eastAsia" w:ascii="仿宋" w:hAnsi="仿宋" w:eastAsia="仿宋" w:cs="仿宋"/>
          <w:color w:val="0C0C0C"/>
          <w:kern w:val="1"/>
          <w:sz w:val="28"/>
          <w:szCs w:val="28"/>
          <w:lang w:val="en-US" w:eastAsia="zh-CN"/>
        </w:rPr>
        <w:t>11</w:t>
      </w:r>
      <w:r>
        <w:rPr>
          <w:rFonts w:hint="eastAsia" w:ascii="仿宋" w:hAnsi="仿宋" w:eastAsia="仿宋" w:cs="仿宋"/>
          <w:color w:val="0C0C0C"/>
          <w:kern w:val="1"/>
          <w:sz w:val="28"/>
          <w:szCs w:val="28"/>
        </w:rPr>
        <w:t>t/a</w:t>
      </w:r>
      <w:r>
        <w:rPr>
          <w:rFonts w:hint="eastAsia" w:ascii="仿宋" w:hAnsi="仿宋" w:eastAsia="仿宋" w:cs="仿宋"/>
          <w:color w:val="0C0C0C"/>
          <w:kern w:val="1"/>
          <w:sz w:val="28"/>
          <w:szCs w:val="28"/>
          <w:lang w:eastAsia="zh-CN"/>
        </w:rPr>
        <w:t>、氮氧化物</w:t>
      </w:r>
      <w:r>
        <w:rPr>
          <w:rFonts w:hint="eastAsia" w:ascii="仿宋" w:hAnsi="仿宋" w:eastAsia="仿宋" w:cs="仿宋"/>
          <w:color w:val="0C0C0C"/>
          <w:kern w:val="1"/>
          <w:sz w:val="28"/>
          <w:szCs w:val="28"/>
          <w:lang w:val="en-US" w:eastAsia="zh-CN"/>
        </w:rPr>
        <w:t>1.08</w:t>
      </w:r>
      <w:r>
        <w:rPr>
          <w:rFonts w:hint="eastAsia" w:ascii="仿宋" w:hAnsi="仿宋" w:eastAsia="仿宋" w:cs="仿宋"/>
          <w:color w:val="0C0C0C"/>
          <w:kern w:val="1"/>
          <w:sz w:val="28"/>
          <w:szCs w:val="28"/>
        </w:rPr>
        <w:t>t/a</w:t>
      </w:r>
      <w:r>
        <w:rPr>
          <w:rFonts w:hint="eastAsia" w:ascii="仿宋" w:hAnsi="仿宋" w:eastAsia="仿宋" w:cs="仿宋"/>
          <w:color w:val="0C0C0C"/>
          <w:kern w:val="1"/>
          <w:sz w:val="28"/>
          <w:szCs w:val="28"/>
          <w:lang w:eastAsia="zh-CN"/>
        </w:rPr>
        <w:t>，</w:t>
      </w:r>
      <w:r>
        <w:rPr>
          <w:rFonts w:hint="eastAsia" w:ascii="仿宋" w:hAnsi="仿宋" w:eastAsia="仿宋" w:cs="仿宋"/>
          <w:color w:val="0C0C0C"/>
          <w:kern w:val="1"/>
          <w:sz w:val="28"/>
          <w:szCs w:val="28"/>
        </w:rPr>
        <w:t>均符合环评提出的控制指标要求。</w:t>
      </w:r>
    </w:p>
    <w:p>
      <w:pPr>
        <w:keepNext w:val="0"/>
        <w:keepLines w:val="0"/>
        <w:pageBreakBefore w:val="0"/>
        <w:widowControl w:val="0"/>
        <w:tabs>
          <w:tab w:val="left" w:pos="945"/>
        </w:tabs>
        <w:kinsoku/>
        <w:wordWrap/>
        <w:overflowPunct/>
        <w:topLinePunct w:val="0"/>
        <w:bidi w:val="0"/>
        <w:snapToGrid/>
        <w:spacing w:line="540" w:lineRule="exact"/>
        <w:ind w:firstLine="602"/>
        <w:textAlignment w:val="auto"/>
        <w:rPr>
          <w:rFonts w:hint="eastAsia" w:ascii="仿宋" w:hAnsi="仿宋" w:eastAsia="仿宋" w:cs="仿宋"/>
          <w:kern w:val="1"/>
          <w:sz w:val="28"/>
          <w:szCs w:val="28"/>
        </w:rPr>
      </w:pPr>
      <w:r>
        <w:rPr>
          <w:rFonts w:hint="eastAsia" w:ascii="仿宋" w:hAnsi="仿宋" w:eastAsia="仿宋" w:cs="仿宋"/>
          <w:b/>
          <w:kern w:val="1"/>
          <w:sz w:val="28"/>
          <w:szCs w:val="28"/>
        </w:rPr>
        <w:t>五、工程建设对环境的影响</w:t>
      </w:r>
    </w:p>
    <w:p>
      <w:pPr>
        <w:keepNext w:val="0"/>
        <w:keepLines w:val="0"/>
        <w:pageBreakBefore w:val="0"/>
        <w:widowControl w:val="0"/>
        <w:tabs>
          <w:tab w:val="left" w:pos="945"/>
        </w:tabs>
        <w:kinsoku/>
        <w:wordWrap/>
        <w:overflowPunct/>
        <w:topLinePunct w:val="0"/>
        <w:bidi w:val="0"/>
        <w:snapToGrid/>
        <w:spacing w:line="540" w:lineRule="exact"/>
        <w:ind w:firstLine="600"/>
        <w:textAlignment w:val="auto"/>
        <w:rPr>
          <w:rFonts w:hint="eastAsia" w:ascii="仿宋" w:hAnsi="仿宋" w:eastAsia="仿宋" w:cs="仿宋"/>
          <w:kern w:val="1"/>
          <w:sz w:val="28"/>
          <w:szCs w:val="28"/>
        </w:rPr>
      </w:pPr>
      <w:r>
        <w:rPr>
          <w:rFonts w:hint="eastAsia" w:ascii="仿宋" w:hAnsi="仿宋" w:eastAsia="仿宋" w:cs="仿宋"/>
          <w:kern w:val="1"/>
          <w:sz w:val="28"/>
          <w:szCs w:val="28"/>
        </w:rPr>
        <w:t>根据监测结果，项目排放污染物符合国家和浙江省规定的污染物排放标准和主要污染物排放总量控制指标，造成的环境影响符合项目所在地环境功能区划确定的环境质量要求。</w:t>
      </w:r>
    </w:p>
    <w:p>
      <w:pPr>
        <w:keepNext w:val="0"/>
        <w:keepLines w:val="0"/>
        <w:pageBreakBefore w:val="0"/>
        <w:widowControl w:val="0"/>
        <w:kinsoku/>
        <w:wordWrap/>
        <w:overflowPunct/>
        <w:topLinePunct w:val="0"/>
        <w:bidi w:val="0"/>
        <w:snapToGrid/>
        <w:spacing w:line="540" w:lineRule="exact"/>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lang w:eastAsia="zh-CN"/>
        </w:rPr>
        <w:t>六</w:t>
      </w:r>
      <w:r>
        <w:rPr>
          <w:rFonts w:hint="eastAsia" w:ascii="仿宋" w:hAnsi="仿宋" w:eastAsia="仿宋" w:cs="仿宋"/>
          <w:b/>
          <w:color w:val="000000"/>
          <w:sz w:val="28"/>
          <w:szCs w:val="28"/>
        </w:rPr>
        <w:t>、验收结论</w:t>
      </w:r>
    </w:p>
    <w:p>
      <w:pPr>
        <w:keepNext w:val="0"/>
        <w:keepLines w:val="0"/>
        <w:pageBreakBefore w:val="0"/>
        <w:widowControl w:val="0"/>
        <w:kinsoku/>
        <w:wordWrap/>
        <w:overflowPunct/>
        <w:topLinePunct w:val="0"/>
        <w:bidi w:val="0"/>
        <w:snapToGrid/>
        <w:spacing w:afterAutospacing="0" w:line="540" w:lineRule="exact"/>
        <w:ind w:firstLine="63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经资料查阅和现场检查，</w:t>
      </w:r>
      <w:r>
        <w:rPr>
          <w:rFonts w:hint="eastAsia" w:ascii="仿宋" w:hAnsi="仿宋" w:eastAsia="仿宋" w:cs="仿宋"/>
          <w:color w:val="000000"/>
          <w:sz w:val="28"/>
          <w:szCs w:val="28"/>
          <w:lang w:eastAsia="zh-CN"/>
        </w:rPr>
        <w:t>温州泰昌铁塔制造有限公司</w:t>
      </w:r>
      <w:r>
        <w:rPr>
          <w:rFonts w:hint="eastAsia" w:ascii="仿宋" w:hAnsi="仿宋" w:eastAsia="仿宋" w:cs="仿宋"/>
          <w:color w:val="000000"/>
          <w:sz w:val="28"/>
          <w:szCs w:val="28"/>
          <w:lang w:val="en-US" w:eastAsia="zh-CN"/>
        </w:rPr>
        <w:t>泰昌集团输变电产业园(暂名)迁扩建</w:t>
      </w:r>
      <w:r>
        <w:rPr>
          <w:rFonts w:hint="eastAsia" w:ascii="仿宋" w:hAnsi="仿宋" w:eastAsia="仿宋" w:cs="仿宋"/>
          <w:color w:val="000000"/>
          <w:sz w:val="28"/>
          <w:szCs w:val="28"/>
        </w:rPr>
        <w:t>项目环保手续齐备，技术资料基本齐全，环境保护设施已按批准的环评文件及批复要求建成，环境保护设施经查验合格，其防治污染能力适应主体工程的需要。经审议，验收组同</w:t>
      </w:r>
      <w:r>
        <w:rPr>
          <w:rFonts w:hint="eastAsia" w:ascii="仿宋" w:hAnsi="仿宋" w:eastAsia="仿宋" w:cs="仿宋"/>
          <w:color w:val="000000"/>
          <w:kern w:val="2"/>
          <w:sz w:val="28"/>
          <w:szCs w:val="28"/>
          <w:lang w:val="en-US" w:eastAsia="zh-CN" w:bidi="ar-SA"/>
        </w:rPr>
        <w:t>意通过该项目环境保护设施竣工自主验收。</w:t>
      </w:r>
    </w:p>
    <w:p>
      <w:pPr>
        <w:keepNext w:val="0"/>
        <w:keepLines w:val="0"/>
        <w:pageBreakBefore w:val="0"/>
        <w:widowControl w:val="0"/>
        <w:kinsoku/>
        <w:wordWrap/>
        <w:overflowPunct/>
        <w:topLinePunct w:val="0"/>
        <w:autoSpaceDE/>
        <w:autoSpaceDN/>
        <w:bidi w:val="0"/>
        <w:adjustRightInd/>
        <w:snapToGrid w:val="0"/>
        <w:spacing w:before="159" w:beforeAutospacing="0" w:line="540" w:lineRule="exact"/>
        <w:ind w:firstLine="562" w:firstLineChars="200"/>
        <w:textAlignment w:val="auto"/>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七、后续要求</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1、依照有关验收技术规范，完善竣工验收监测报告相关内容及附件；及时公示企业环境信息和竣工验收材料。</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2、根据《浙江省金属表面处理行业（电镀除外）污染整治技术规范》及地方行业整治要求，完善酸雾和锌烟收集系统，提高废气集气率和去除率，完善酸雾处理设施的配药系统和pH自控装置。</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3、加强污染治理设施的日常运行维护及管理，确保污染物长期稳定达标排放，加强对污水水质的总锌等金属因子进行监控；规范排放口设置，完善环保标识和台账。</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4、积极实施清洁生产，提高废水重复使用率，减少废水排放总量；做好废水分质分流系统；屋顶各类喷淋塔废水</w:t>
      </w:r>
      <w:bookmarkStart w:id="1" w:name="_GoBack"/>
      <w:bookmarkEnd w:id="1"/>
      <w:r>
        <w:rPr>
          <w:rFonts w:hint="eastAsia" w:ascii="仿宋" w:hAnsi="仿宋" w:eastAsia="仿宋" w:cs="仿宋"/>
          <w:color w:val="000000"/>
          <w:kern w:val="2"/>
          <w:sz w:val="28"/>
          <w:szCs w:val="28"/>
          <w:lang w:val="en-US" w:eastAsia="zh-CN" w:bidi="ar-SA"/>
        </w:rPr>
        <w:t>需接入污水管网，不得进入雨水管，建议对初期雨水水质进行监控。</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5、强化风险防范措施，降低环境风险，杜绝污染事故性排放。规范危险废物暂存场所，分区暂存，及时办理危险废物委托处置协议，加强危险废物暂存管理，完善警示标志和台账。</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6、选用低噪声设备，生产车间合理布局并对噪声源所在的生产车间，采取必要的隔音降噪措施，使噪声达标排放。</w:t>
      </w:r>
    </w:p>
    <w:p>
      <w:pPr>
        <w:keepNext w:val="0"/>
        <w:keepLines w:val="0"/>
        <w:pageBreakBefore w:val="0"/>
        <w:widowControl w:val="0"/>
        <w:kinsoku/>
        <w:wordWrap/>
        <w:overflowPunct/>
        <w:topLinePunct w:val="0"/>
        <w:bidi w:val="0"/>
        <w:snapToGrid/>
        <w:spacing w:line="540" w:lineRule="exact"/>
        <w:ind w:firstLine="630"/>
        <w:textAlignment w:val="auto"/>
        <w:rPr>
          <w:rFonts w:hint="eastAsia" w:ascii="仿宋" w:hAnsi="仿宋" w:eastAsia="仿宋" w:cs="仿宋"/>
          <w:color w:val="000000"/>
          <w:sz w:val="28"/>
          <w:szCs w:val="28"/>
        </w:rPr>
      </w:pPr>
      <w:r>
        <w:rPr>
          <w:rFonts w:hint="eastAsia" w:ascii="仿宋" w:hAnsi="仿宋" w:eastAsia="仿宋" w:cs="仿宋"/>
          <w:color w:val="000000"/>
          <w:kern w:val="2"/>
          <w:sz w:val="28"/>
          <w:szCs w:val="28"/>
          <w:lang w:val="en-US" w:eastAsia="zh-CN" w:bidi="ar-SA"/>
        </w:rPr>
        <w:t>7、加强车间环境管理，继续完善各类环保管理制度，各类环保设备要有专人负责管理，将环保责任落实到人。严格按环评内容及批复要求落实生产，若发生重大变化则须另行报批</w:t>
      </w:r>
      <w:r>
        <w:rPr>
          <w:rFonts w:hint="eastAsia" w:ascii="仿宋" w:hAnsi="仿宋" w:eastAsia="仿宋" w:cs="仿宋"/>
          <w:color w:val="000000"/>
          <w:sz w:val="28"/>
          <w:szCs w:val="28"/>
        </w:rPr>
        <w:t>。</w:t>
      </w:r>
    </w:p>
    <w:p>
      <w:pPr>
        <w:keepNext w:val="0"/>
        <w:keepLines w:val="0"/>
        <w:pageBreakBefore w:val="0"/>
        <w:widowControl w:val="0"/>
        <w:kinsoku/>
        <w:wordWrap/>
        <w:overflowPunct/>
        <w:topLinePunct w:val="0"/>
        <w:bidi w:val="0"/>
        <w:snapToGrid/>
        <w:spacing w:line="54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八</w:t>
      </w:r>
      <w:r>
        <w:rPr>
          <w:rFonts w:hint="eastAsia" w:ascii="仿宋" w:hAnsi="仿宋" w:eastAsia="仿宋" w:cs="仿宋"/>
          <w:b/>
          <w:bCs/>
          <w:sz w:val="28"/>
          <w:szCs w:val="28"/>
        </w:rPr>
        <w:t>、验收人员信息</w:t>
      </w:r>
    </w:p>
    <w:p>
      <w:pPr>
        <w:keepNext w:val="0"/>
        <w:keepLines w:val="0"/>
        <w:pageBreakBefore w:val="0"/>
        <w:widowControl w:val="0"/>
        <w:kinsoku/>
        <w:wordWrap/>
        <w:overflowPunct/>
        <w:topLinePunct w:val="0"/>
        <w:bidi w:val="0"/>
        <w:snapToGrid/>
        <w:spacing w:line="540" w:lineRule="exact"/>
        <w:ind w:firstLine="63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验收人员信息详见签到单。</w:t>
      </w:r>
    </w:p>
    <w:p>
      <w:pPr>
        <w:spacing w:line="560" w:lineRule="exact"/>
        <w:ind w:firstLine="630"/>
        <w:rPr>
          <w:rFonts w:ascii="仿宋_GB2312" w:eastAsia="仿宋_GB2312"/>
          <w:b/>
          <w:bCs/>
          <w:sz w:val="28"/>
          <w:szCs w:val="28"/>
        </w:rPr>
      </w:pPr>
      <w:r>
        <w:rPr>
          <w:rFonts w:hint="eastAsia" w:ascii="仿宋_GB2312" w:eastAsia="仿宋_GB2312"/>
          <w:b/>
          <w:bCs/>
          <w:sz w:val="28"/>
          <w:szCs w:val="28"/>
        </w:rPr>
        <w:t>验收组成员签字：</w:t>
      </w:r>
    </w:p>
    <w:p>
      <w:pPr>
        <w:tabs>
          <w:tab w:val="left" w:pos="3206"/>
        </w:tabs>
        <w:spacing w:line="560" w:lineRule="exact"/>
        <w:ind w:firstLine="630"/>
        <w:rPr>
          <w:rFonts w:ascii="仿宋_GB2312" w:eastAsia="仿宋_GB2312"/>
          <w:sz w:val="28"/>
          <w:szCs w:val="28"/>
        </w:rPr>
      </w:pPr>
      <w:r>
        <w:rPr>
          <w:rFonts w:ascii="仿宋_GB2312" w:eastAsia="仿宋_GB2312"/>
          <w:sz w:val="28"/>
          <w:szCs w:val="28"/>
        </w:rPr>
        <w:tab/>
      </w:r>
    </w:p>
    <w:p>
      <w:pPr>
        <w:spacing w:line="600" w:lineRule="auto"/>
        <w:jc w:val="right"/>
        <w:rPr>
          <w:rFonts w:ascii="仿宋_GB2312" w:eastAsia="仿宋_GB2312"/>
          <w:b/>
          <w:bCs/>
          <w:color w:val="000000"/>
          <w:sz w:val="30"/>
          <w:szCs w:val="30"/>
        </w:rPr>
      </w:pPr>
    </w:p>
    <w:p>
      <w:pPr>
        <w:spacing w:line="600" w:lineRule="auto"/>
        <w:jc w:val="right"/>
        <w:rPr>
          <w:rFonts w:ascii="仿宋_GB2312" w:eastAsia="仿宋_GB2312"/>
          <w:b/>
          <w:bCs/>
          <w:color w:val="000000"/>
          <w:sz w:val="30"/>
          <w:szCs w:val="30"/>
        </w:rPr>
      </w:pPr>
    </w:p>
    <w:p>
      <w:pPr>
        <w:spacing w:line="600" w:lineRule="auto"/>
        <w:jc w:val="right"/>
        <w:rPr>
          <w:rFonts w:ascii="仿宋_GB2312" w:eastAsia="仿宋_GB2312"/>
          <w:b/>
          <w:bCs/>
          <w:color w:val="000000"/>
          <w:sz w:val="30"/>
          <w:szCs w:val="30"/>
        </w:rPr>
      </w:pPr>
      <w:r>
        <w:rPr>
          <w:rFonts w:hint="eastAsia" w:ascii="仿宋_GB2312" w:hAnsi="Times New Roman" w:eastAsia="仿宋_GB2312" w:cs="Times New Roman"/>
          <w:b/>
          <w:bCs/>
          <w:color w:val="000000"/>
          <w:sz w:val="30"/>
          <w:szCs w:val="30"/>
          <w:lang w:eastAsia="zh-CN"/>
        </w:rPr>
        <w:t>温州泰昌铁塔制造有限公司</w:t>
      </w:r>
      <w:r>
        <w:rPr>
          <w:rFonts w:hint="eastAsia" w:ascii="仿宋_GB2312" w:hAnsi="Times New Roman" w:eastAsia="仿宋_GB2312" w:cs="Times New Roman"/>
          <w:b/>
          <w:bCs/>
          <w:color w:val="000000"/>
          <w:sz w:val="30"/>
          <w:szCs w:val="30"/>
        </w:rPr>
        <w:t>项目</w:t>
      </w:r>
      <w:r>
        <w:rPr>
          <w:rFonts w:hint="eastAsia" w:ascii="仿宋_GB2312" w:eastAsia="仿宋_GB2312"/>
          <w:b/>
          <w:bCs/>
          <w:color w:val="000000"/>
          <w:sz w:val="30"/>
          <w:szCs w:val="30"/>
        </w:rPr>
        <w:t>验收组</w:t>
      </w:r>
    </w:p>
    <w:p>
      <w:pPr>
        <w:spacing w:line="600" w:lineRule="auto"/>
        <w:jc w:val="right"/>
        <w:rPr>
          <w:rFonts w:ascii="仿宋_GB2312" w:eastAsia="仿宋_GB2312"/>
          <w:b/>
          <w:bCs/>
          <w:color w:val="000000"/>
          <w:sz w:val="30"/>
          <w:szCs w:val="30"/>
        </w:rPr>
      </w:pPr>
      <w:r>
        <w:rPr>
          <w:rFonts w:hint="eastAsia" w:ascii="仿宋_GB2312" w:eastAsia="仿宋_GB2312"/>
          <w:b/>
          <w:bCs/>
          <w:color w:val="000000"/>
          <w:sz w:val="30"/>
          <w:szCs w:val="30"/>
        </w:rPr>
        <w:t>2019年1月2</w:t>
      </w:r>
      <w:r>
        <w:rPr>
          <w:rFonts w:hint="eastAsia" w:ascii="仿宋_GB2312" w:eastAsia="仿宋_GB2312"/>
          <w:b/>
          <w:bCs/>
          <w:color w:val="000000"/>
          <w:sz w:val="30"/>
          <w:szCs w:val="30"/>
          <w:lang w:val="en-US" w:eastAsia="zh-CN"/>
        </w:rPr>
        <w:t>8</w:t>
      </w:r>
      <w:r>
        <w:rPr>
          <w:rFonts w:hint="eastAsia" w:ascii="仿宋_GB2312" w:eastAsia="仿宋_GB2312"/>
          <w:b/>
          <w:bCs/>
          <w:color w:val="000000"/>
          <w:sz w:val="30"/>
          <w:szCs w:val="30"/>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DB961"/>
    <w:multiLevelType w:val="singleLevel"/>
    <w:tmpl w:val="59DDB961"/>
    <w:lvl w:ilvl="0" w:tentative="0">
      <w:start w:val="2"/>
      <w:numFmt w:val="chineseCounting"/>
      <w:suff w:val="nothing"/>
      <w:lvlText w:val="%1、"/>
      <w:lvlJc w:val="left"/>
    </w:lvl>
  </w:abstractNum>
  <w:abstractNum w:abstractNumId="1">
    <w:nsid w:val="59DDC3A6"/>
    <w:multiLevelType w:val="singleLevel"/>
    <w:tmpl w:val="59DDC3A6"/>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678"/>
    <w:rsid w:val="000066B0"/>
    <w:rsid w:val="00006DE4"/>
    <w:rsid w:val="00026921"/>
    <w:rsid w:val="0004241D"/>
    <w:rsid w:val="000859B6"/>
    <w:rsid w:val="00086888"/>
    <w:rsid w:val="00091127"/>
    <w:rsid w:val="00092BE5"/>
    <w:rsid w:val="000A55A8"/>
    <w:rsid w:val="000D3625"/>
    <w:rsid w:val="000F3117"/>
    <w:rsid w:val="00101B93"/>
    <w:rsid w:val="00135A5E"/>
    <w:rsid w:val="00142BC4"/>
    <w:rsid w:val="0018018D"/>
    <w:rsid w:val="001F1BB7"/>
    <w:rsid w:val="002115A6"/>
    <w:rsid w:val="00301832"/>
    <w:rsid w:val="0035671B"/>
    <w:rsid w:val="0035770B"/>
    <w:rsid w:val="003A43CF"/>
    <w:rsid w:val="003B284B"/>
    <w:rsid w:val="003F0EA3"/>
    <w:rsid w:val="004177AB"/>
    <w:rsid w:val="0042342A"/>
    <w:rsid w:val="00430225"/>
    <w:rsid w:val="00434F94"/>
    <w:rsid w:val="00435787"/>
    <w:rsid w:val="00445AC3"/>
    <w:rsid w:val="00457FA4"/>
    <w:rsid w:val="00483E8B"/>
    <w:rsid w:val="00487605"/>
    <w:rsid w:val="004A5ADA"/>
    <w:rsid w:val="004B100E"/>
    <w:rsid w:val="004D2E43"/>
    <w:rsid w:val="004F3C5A"/>
    <w:rsid w:val="004F50E6"/>
    <w:rsid w:val="00503A81"/>
    <w:rsid w:val="00517D7A"/>
    <w:rsid w:val="005213E1"/>
    <w:rsid w:val="0055296A"/>
    <w:rsid w:val="00554079"/>
    <w:rsid w:val="00560101"/>
    <w:rsid w:val="00573EFF"/>
    <w:rsid w:val="005E10B1"/>
    <w:rsid w:val="0060203B"/>
    <w:rsid w:val="00622EA7"/>
    <w:rsid w:val="00633E61"/>
    <w:rsid w:val="00634556"/>
    <w:rsid w:val="00656D6B"/>
    <w:rsid w:val="00684BC2"/>
    <w:rsid w:val="00697FDE"/>
    <w:rsid w:val="006C1643"/>
    <w:rsid w:val="006C5B6F"/>
    <w:rsid w:val="006D6FF2"/>
    <w:rsid w:val="006E639B"/>
    <w:rsid w:val="00722CAC"/>
    <w:rsid w:val="007262AA"/>
    <w:rsid w:val="00770168"/>
    <w:rsid w:val="007C3958"/>
    <w:rsid w:val="007D0557"/>
    <w:rsid w:val="007F3B94"/>
    <w:rsid w:val="00877071"/>
    <w:rsid w:val="008E62B8"/>
    <w:rsid w:val="00974334"/>
    <w:rsid w:val="00981F14"/>
    <w:rsid w:val="009B28E2"/>
    <w:rsid w:val="009D5B8B"/>
    <w:rsid w:val="00A13F0A"/>
    <w:rsid w:val="00A522C2"/>
    <w:rsid w:val="00A66757"/>
    <w:rsid w:val="00A83256"/>
    <w:rsid w:val="00A8768F"/>
    <w:rsid w:val="00A92174"/>
    <w:rsid w:val="00AC074C"/>
    <w:rsid w:val="00B25E0C"/>
    <w:rsid w:val="00B46A89"/>
    <w:rsid w:val="00B55FF4"/>
    <w:rsid w:val="00B62F01"/>
    <w:rsid w:val="00B7191A"/>
    <w:rsid w:val="00BA2C85"/>
    <w:rsid w:val="00BB23B5"/>
    <w:rsid w:val="00BC1934"/>
    <w:rsid w:val="00C62A9A"/>
    <w:rsid w:val="00CA2344"/>
    <w:rsid w:val="00CB7A61"/>
    <w:rsid w:val="00CC1647"/>
    <w:rsid w:val="00CC3785"/>
    <w:rsid w:val="00CC5D84"/>
    <w:rsid w:val="00CD03DE"/>
    <w:rsid w:val="00CE6053"/>
    <w:rsid w:val="00D17D99"/>
    <w:rsid w:val="00D22F42"/>
    <w:rsid w:val="00D84BD8"/>
    <w:rsid w:val="00DB6678"/>
    <w:rsid w:val="00DC0FAF"/>
    <w:rsid w:val="00DF6246"/>
    <w:rsid w:val="00E01B3D"/>
    <w:rsid w:val="00E30581"/>
    <w:rsid w:val="00E65C48"/>
    <w:rsid w:val="00E71545"/>
    <w:rsid w:val="00E77D12"/>
    <w:rsid w:val="00EC1EF5"/>
    <w:rsid w:val="00EC6B77"/>
    <w:rsid w:val="00F04127"/>
    <w:rsid w:val="00F22088"/>
    <w:rsid w:val="00F40A1B"/>
    <w:rsid w:val="00F502D9"/>
    <w:rsid w:val="00F82C3E"/>
    <w:rsid w:val="00F979F0"/>
    <w:rsid w:val="00FF759B"/>
    <w:rsid w:val="0137357B"/>
    <w:rsid w:val="02DC306D"/>
    <w:rsid w:val="03547D89"/>
    <w:rsid w:val="03A2455F"/>
    <w:rsid w:val="06634CA9"/>
    <w:rsid w:val="06851866"/>
    <w:rsid w:val="07333E7D"/>
    <w:rsid w:val="08AD17FB"/>
    <w:rsid w:val="0ACA6ED9"/>
    <w:rsid w:val="0D2D5EDB"/>
    <w:rsid w:val="0D9A21D6"/>
    <w:rsid w:val="0E793776"/>
    <w:rsid w:val="0E832DC0"/>
    <w:rsid w:val="0F027666"/>
    <w:rsid w:val="0FAF7C5B"/>
    <w:rsid w:val="1036216D"/>
    <w:rsid w:val="109346C2"/>
    <w:rsid w:val="12AB65A4"/>
    <w:rsid w:val="157A2A72"/>
    <w:rsid w:val="15AB756B"/>
    <w:rsid w:val="15F658F0"/>
    <w:rsid w:val="16BD538C"/>
    <w:rsid w:val="173127A4"/>
    <w:rsid w:val="17AB0828"/>
    <w:rsid w:val="1B924BDD"/>
    <w:rsid w:val="1BAA7A25"/>
    <w:rsid w:val="1BBF5FC2"/>
    <w:rsid w:val="1CCD12F4"/>
    <w:rsid w:val="1D820EFB"/>
    <w:rsid w:val="1DBA1FEE"/>
    <w:rsid w:val="218D2A64"/>
    <w:rsid w:val="24FE5A8C"/>
    <w:rsid w:val="28811E55"/>
    <w:rsid w:val="29B57B1E"/>
    <w:rsid w:val="2B3E2C73"/>
    <w:rsid w:val="2BC117FB"/>
    <w:rsid w:val="2E2760D3"/>
    <w:rsid w:val="2F7236D1"/>
    <w:rsid w:val="2FCE5831"/>
    <w:rsid w:val="30C30A35"/>
    <w:rsid w:val="318C5AFB"/>
    <w:rsid w:val="31AE2278"/>
    <w:rsid w:val="38056B9A"/>
    <w:rsid w:val="392E1814"/>
    <w:rsid w:val="395716C4"/>
    <w:rsid w:val="39A539EA"/>
    <w:rsid w:val="3C7B53D6"/>
    <w:rsid w:val="3D1D1EB8"/>
    <w:rsid w:val="40124A4B"/>
    <w:rsid w:val="40CC070F"/>
    <w:rsid w:val="41781B94"/>
    <w:rsid w:val="41BC1271"/>
    <w:rsid w:val="45545CF1"/>
    <w:rsid w:val="45912168"/>
    <w:rsid w:val="46576DA4"/>
    <w:rsid w:val="469D3677"/>
    <w:rsid w:val="48707D7E"/>
    <w:rsid w:val="487C11C5"/>
    <w:rsid w:val="49D315D5"/>
    <w:rsid w:val="4A1F2012"/>
    <w:rsid w:val="4B1E2185"/>
    <w:rsid w:val="4B7D4577"/>
    <w:rsid w:val="4C431636"/>
    <w:rsid w:val="4CC50BFE"/>
    <w:rsid w:val="4CDF75C6"/>
    <w:rsid w:val="4E50638F"/>
    <w:rsid w:val="4EC07C90"/>
    <w:rsid w:val="5050602C"/>
    <w:rsid w:val="515D77CC"/>
    <w:rsid w:val="51DA45DC"/>
    <w:rsid w:val="55464A03"/>
    <w:rsid w:val="554A24CE"/>
    <w:rsid w:val="57227ACF"/>
    <w:rsid w:val="57A1481C"/>
    <w:rsid w:val="584C183B"/>
    <w:rsid w:val="58A372EB"/>
    <w:rsid w:val="59646DDF"/>
    <w:rsid w:val="5A7855F6"/>
    <w:rsid w:val="5B1E785C"/>
    <w:rsid w:val="5E437615"/>
    <w:rsid w:val="5EEA6CB8"/>
    <w:rsid w:val="612B7CC7"/>
    <w:rsid w:val="6300303A"/>
    <w:rsid w:val="645A696A"/>
    <w:rsid w:val="64AB3304"/>
    <w:rsid w:val="65E15A96"/>
    <w:rsid w:val="673A58A3"/>
    <w:rsid w:val="677C2BA2"/>
    <w:rsid w:val="67ED42E3"/>
    <w:rsid w:val="6D316051"/>
    <w:rsid w:val="6D7D1CDC"/>
    <w:rsid w:val="6D8C7459"/>
    <w:rsid w:val="6F171483"/>
    <w:rsid w:val="70242AC3"/>
    <w:rsid w:val="704169F1"/>
    <w:rsid w:val="71775A0A"/>
    <w:rsid w:val="73C33742"/>
    <w:rsid w:val="76AE36A5"/>
    <w:rsid w:val="779307FC"/>
    <w:rsid w:val="788B056B"/>
    <w:rsid w:val="7B897E51"/>
    <w:rsid w:val="7BA87F6B"/>
    <w:rsid w:val="7BBC203C"/>
    <w:rsid w:val="7DCF0BE2"/>
    <w:rsid w:val="7F7064F3"/>
    <w:rsid w:val="7FCF4C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adjustRightInd w:val="0"/>
      <w:snapToGrid w:val="0"/>
      <w:spacing w:line="360" w:lineRule="auto"/>
      <w:ind w:firstLine="200" w:firstLineChars="200"/>
    </w:pPr>
    <w:rPr>
      <w:rFonts w:ascii="宋体" w:hAnsi="宋体"/>
      <w:sz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style01"/>
    <w:basedOn w:val="5"/>
    <w:qFormat/>
    <w:uiPriority w:val="0"/>
    <w:rPr>
      <w:rFonts w:ascii="宋体" w:hAnsi="宋体" w:eastAsia="宋体" w:cs="宋体"/>
      <w:color w:val="000000"/>
      <w:sz w:val="28"/>
      <w:szCs w:val="28"/>
    </w:rPr>
  </w:style>
  <w:style w:type="character" w:customStyle="1" w:styleId="8">
    <w:name w:val="fontstyle21"/>
    <w:basedOn w:val="5"/>
    <w:qFormat/>
    <w:uiPriority w:val="0"/>
    <w:rPr>
      <w:rFonts w:ascii="TimesNewRomanPSMT" w:hAnsi="TimesNewRomanPSMT" w:eastAsia="TimesNewRomanPSMT" w:cs="TimesNewRomanPSMT"/>
      <w:color w:val="000000"/>
      <w:sz w:val="28"/>
      <w:szCs w:val="28"/>
    </w:rPr>
  </w:style>
  <w:style w:type="character" w:customStyle="1" w:styleId="9">
    <w:name w:val="fontstyle11"/>
    <w:basedOn w:val="5"/>
    <w:qFormat/>
    <w:uiPriority w:val="0"/>
    <w:rPr>
      <w:rFonts w:ascii="TimesNewRomanPSMT" w:hAnsi="TimesNewRomanPSMT" w:eastAsia="TimesNewRomanPSMT" w:cs="TimesNewRomanPSMT"/>
      <w:color w:val="000000"/>
      <w:sz w:val="28"/>
      <w:szCs w:val="28"/>
    </w:rPr>
  </w:style>
  <w:style w:type="character" w:customStyle="1" w:styleId="10">
    <w:name w:val="页眉 Char"/>
    <w:basedOn w:val="5"/>
    <w:link w:val="4"/>
    <w:qFormat/>
    <w:uiPriority w:val="0"/>
    <w:rPr>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284</Words>
  <Characters>1624</Characters>
  <Lines>13</Lines>
  <Paragraphs>3</Paragraphs>
  <TotalTime>6</TotalTime>
  <ScaleCrop>false</ScaleCrop>
  <LinksUpToDate>false</LinksUpToDate>
  <CharactersWithSpaces>1905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2018-09-08T01:41:00Z</dcterms:created>
  <dc:creator>Administrator</dc:creator>
  <cp:lastModifiedBy>hky</cp:lastModifiedBy>
  <dcterms:modified xsi:type="dcterms:W3CDTF">2019-01-28T06:02:23Z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